
<file path=[Content_Types].xml><?xml version="1.0" encoding="utf-8"?>
<Types xmlns="http://schemas.openxmlformats.org/package/2006/content-types">
  <Default Extension="xml" ContentType="application/xml"/>
  <Default Extension="tiff" ContentType="image/tif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fontTable.xml" ContentType="application/vnd.openxmlformats-officedocument.wordprocessingml.fontTable+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7"/>
        <w:tblW w:w="9364"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0" w:type="dxa"/>
          <w:bottom w:w="0" w:type="dxa"/>
          <w:right w:w="0" w:type="dxa"/>
        </w:tblCellMar>
      </w:tblPr>
      <w:tblGrid>
        <w:gridCol w:w="509"/>
        <w:gridCol w:w="8855"/>
      </w:tblGrid>
      <w:tr w14:paraId="0F5B6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4811A504">
            <w:pPr>
              <w:pStyle w:val="18"/>
              <w:framePr w:wrap="notBeside" w:vAnchor="page" w:hAnchor="page" w:x="1372" w:y="568"/>
              <w:tabs>
                <w:tab w:val="clear" w:pos="4153"/>
                <w:tab w:val="clear" w:pos="8306"/>
              </w:tabs>
              <w:spacing w:line="240" w:lineRule="auto"/>
              <w:jc w:val="left"/>
              <w:rPr>
                <w:rFonts w:ascii="黑体" w:hAnsi="黑体" w:eastAsia="黑体"/>
                <w:sz w:val="21"/>
                <w:szCs w:val="21"/>
              </w:rPr>
            </w:pPr>
            <w:r>
              <w:rPr>
                <w:rFonts w:ascii="Times New Roman" w:hAnsi="Times New Roman" w:eastAsia="黑体"/>
                <w:sz w:val="21"/>
                <w:szCs w:val="21"/>
              </w:rPr>
              <w:t>ICS</w:t>
            </w:r>
            <w:r>
              <w:rPr>
                <w:rFonts w:ascii="黑体" w:hAnsi="黑体" w:eastAsia="黑体"/>
                <w:sz w:val="21"/>
                <w:szCs w:val="21"/>
              </w:rPr>
              <w:t xml:space="preserve">  </w:t>
            </w:r>
          </w:p>
        </w:tc>
        <w:tc>
          <w:tcPr>
            <w:tcW w:w="8855" w:type="dxa"/>
          </w:tcPr>
          <w:p w14:paraId="69B36426">
            <w:pPr>
              <w:pStyle w:val="18"/>
              <w:framePr w:wrap="notBeside" w:vAnchor="page" w:hAnchor="page" w:x="1372" w:y="568"/>
              <w:tabs>
                <w:tab w:val="clear" w:pos="4153"/>
                <w:tab w:val="clear" w:pos="8306"/>
              </w:tabs>
              <w:spacing w:line="240" w:lineRule="auto"/>
              <w:jc w:val="both"/>
              <w:rPr>
                <w:rFonts w:ascii="黑体" w:hAnsi="黑体" w:eastAsia="黑体"/>
                <w:sz w:val="21"/>
                <w:szCs w:val="21"/>
              </w:rPr>
            </w:pPr>
            <w:r>
              <w:rPr>
                <w:rFonts w:ascii="黑体" w:hAnsi="黑体" w:eastAsia="黑体"/>
                <w:sz w:val="21"/>
                <w:szCs w:val="21"/>
              </w:rPr>
              <w:fldChar w:fldCharType="begin">
                <w:ffData>
                  <w:name w:val="ICS"/>
                  <w:enabled/>
                  <w:calcOnExit w:val="0"/>
                  <w:textInput>
                    <w:default w:val="点击此处添加ICS号"/>
                  </w:textInput>
                </w:ffData>
              </w:fldChar>
            </w:r>
            <w:bookmarkStart w:id="0" w:name="ICS"/>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13.030.</w:t>
            </w:r>
            <w:r>
              <w:rPr>
                <w:rFonts w:hint="eastAsia" w:ascii="黑体" w:hAnsi="黑体" w:eastAsia="黑体"/>
                <w:sz w:val="21"/>
                <w:szCs w:val="21"/>
              </w:rPr>
              <w:t>01</w:t>
            </w:r>
            <w:r>
              <w:rPr>
                <w:rFonts w:ascii="黑体" w:hAnsi="黑体" w:eastAsia="黑体"/>
                <w:sz w:val="21"/>
                <w:szCs w:val="21"/>
              </w:rPr>
              <w:fldChar w:fldCharType="end"/>
            </w:r>
            <w:bookmarkEnd w:id="0"/>
          </w:p>
        </w:tc>
      </w:tr>
      <w:tr w14:paraId="62B7F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c>
          <w:tcPr>
            <w:tcW w:w="509" w:type="dxa"/>
          </w:tcPr>
          <w:p w14:paraId="165B707C">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Times New Roman" w:hAnsi="Times New Roman" w:eastAsia="黑体"/>
                <w:sz w:val="21"/>
                <w:szCs w:val="21"/>
              </w:rPr>
              <w:t xml:space="preserve">CCS </w:t>
            </w:r>
            <w:r>
              <w:rPr>
                <w:rFonts w:ascii="黑体" w:hAnsi="黑体" w:eastAsia="黑体"/>
                <w:sz w:val="21"/>
                <w:szCs w:val="21"/>
              </w:rPr>
              <w:t xml:space="preserve"> </w:t>
            </w:r>
          </w:p>
        </w:tc>
        <w:tc>
          <w:tcPr>
            <w:tcW w:w="8855" w:type="dxa"/>
          </w:tcPr>
          <w:p w14:paraId="599963BF">
            <w:pPr>
              <w:pStyle w:val="18"/>
              <w:framePr w:wrap="notBeside" w:vAnchor="page" w:hAnchor="page" w:x="1372" w:y="568"/>
              <w:tabs>
                <w:tab w:val="clear" w:pos="4153"/>
                <w:tab w:val="clear" w:pos="8306"/>
              </w:tabs>
              <w:spacing w:before="40" w:line="240" w:lineRule="auto"/>
              <w:jc w:val="left"/>
              <w:rPr>
                <w:rFonts w:ascii="黑体" w:hAnsi="黑体" w:eastAsia="黑体"/>
                <w:sz w:val="21"/>
                <w:szCs w:val="21"/>
              </w:rPr>
            </w:pPr>
            <w:r>
              <w:rPr>
                <w:rFonts w:ascii="黑体" w:hAnsi="黑体" w:eastAsia="黑体"/>
                <w:sz w:val="21"/>
                <w:szCs w:val="21"/>
              </w:rPr>
              <w:fldChar w:fldCharType="begin">
                <w:ffData>
                  <w:name w:val="CSDN"/>
                  <w:enabled/>
                  <w:calcOnExit w:val="0"/>
                  <w:textInput>
                    <w:default w:val="点击此处添加CCS号"/>
                  </w:textInput>
                </w:ffData>
              </w:fldChar>
            </w:r>
            <w:bookmarkStart w:id="1" w:name="CSDN"/>
            <w:r>
              <w:rPr>
                <w:rFonts w:ascii="黑体" w:hAnsi="黑体" w:eastAsia="黑体"/>
                <w:sz w:val="21"/>
                <w:szCs w:val="21"/>
              </w:rPr>
              <w:instrText xml:space="preserve"> FORMTEXT </w:instrText>
            </w:r>
            <w:r>
              <w:rPr>
                <w:rFonts w:ascii="黑体" w:hAnsi="黑体" w:eastAsia="黑体"/>
                <w:sz w:val="21"/>
                <w:szCs w:val="21"/>
              </w:rPr>
              <w:fldChar w:fldCharType="separate"/>
            </w:r>
            <w:r>
              <w:rPr>
                <w:rFonts w:ascii="黑体" w:hAnsi="黑体" w:eastAsia="黑体"/>
                <w:sz w:val="21"/>
                <w:szCs w:val="21"/>
              </w:rPr>
              <w:t>Z05   </w:t>
            </w:r>
            <w:r>
              <w:rPr>
                <w:rFonts w:ascii="黑体" w:hAnsi="黑体" w:eastAsia="黑体"/>
                <w:sz w:val="21"/>
                <w:szCs w:val="21"/>
              </w:rPr>
              <w:fldChar w:fldCharType="end"/>
            </w:r>
            <w:bookmarkEnd w:id="1"/>
          </w:p>
        </w:tc>
      </w:tr>
    </w:tbl>
    <w:tbl>
      <w:tblPr>
        <w:tblStyle w:val="27"/>
        <w:tblpPr w:leftFromText="180" w:rightFromText="180" w:vertAnchor="text" w:horzAnchor="margin" w:tblpX="2683" w:tblpY="578"/>
        <w:tblW w:w="0" w:type="auto"/>
        <w:tblInd w:w="0" w:type="dxa"/>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221" w:type="dxa"/>
        </w:tblCellMar>
      </w:tblPr>
      <w:tblGrid>
        <w:gridCol w:w="6407"/>
      </w:tblGrid>
      <w:tr w14:paraId="03A09B23">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221" w:type="dxa"/>
          </w:tblCellMar>
        </w:tblPrEx>
        <w:tc>
          <w:tcPr>
            <w:tcW w:w="6407" w:type="dxa"/>
          </w:tcPr>
          <w:p w14:paraId="0C57AE1E">
            <w:pPr>
              <w:pStyle w:val="49"/>
              <w:framePr w:w="0" w:hRule="auto" w:wrap="auto" w:vAnchor="margin" w:hAnchor="text" w:xAlign="left" w:yAlign="inline"/>
              <w:rPr>
                <w:rFonts w:ascii="宋体" w:hAnsi="宋体"/>
                <w:sz w:val="28"/>
                <w:szCs w:val="28"/>
              </w:rPr>
            </w:pPr>
            <w:bookmarkStart w:id="2" w:name="_Hlk26473981"/>
            <w:r>
              <w:drawing>
                <wp:inline distT="0" distB="0" distL="0" distR="0">
                  <wp:extent cx="796290" cy="397510"/>
                  <wp:effectExtent l="0" t="0" r="381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13958" cy="406373"/>
                          </a:xfrm>
                          <a:prstGeom prst="rect">
                            <a:avLst/>
                          </a:prstGeom>
                        </pic:spPr>
                      </pic:pic>
                    </a:graphicData>
                  </a:graphic>
                </wp:inline>
              </w:drawing>
            </w:r>
            <w:r>
              <w:rPr>
                <w:sz w:val="21"/>
                <w:szCs w:val="21"/>
              </w:rPr>
              <w:t xml:space="preserve"> </w:t>
            </w:r>
            <w:r>
              <w:fldChar w:fldCharType="begin">
                <w:ffData>
                  <w:name w:val="c1"/>
                  <w:enabled/>
                  <w:calcOnExit w:val="0"/>
                  <w:textInput>
                    <w:maxLength w:val="8"/>
                  </w:textInput>
                </w:ffData>
              </w:fldChar>
            </w:r>
            <w:bookmarkStart w:id="3" w:name="c1"/>
            <w:r>
              <w:instrText xml:space="preserve"> FORMTEXT </w:instrText>
            </w:r>
            <w:r>
              <w:fldChar w:fldCharType="separate"/>
            </w:r>
            <w:r>
              <w:t>42</w:t>
            </w:r>
            <w:r>
              <w:fldChar w:fldCharType="end"/>
            </w:r>
            <w:bookmarkEnd w:id="3"/>
          </w:p>
        </w:tc>
      </w:tr>
    </w:tbl>
    <w:p w14:paraId="44B966A0">
      <w:pPr>
        <w:pStyle w:val="50"/>
        <w:framePr w:w="9639" w:h="624" w:hRule="exact" w:hSpace="181" w:vSpace="181" w:wrap="around" w:hAnchor="page" w:x="1305" w:y="2269"/>
        <w:rPr>
          <w:rFonts w:ascii="黑体" w:hAnsi="黑体" w:eastAsia="黑体"/>
          <w:b w:val="0"/>
          <w:bCs w:val="0"/>
          <w:w w:val="100"/>
          <w:sz w:val="48"/>
          <w:szCs w:val="48"/>
        </w:rPr>
      </w:pPr>
      <w:r>
        <w:rPr>
          <w:rFonts w:ascii="黑体" w:eastAsia="黑体"/>
          <w:b w:val="0"/>
          <w:w w:val="100"/>
          <w:sz w:val="48"/>
        </w:rPr>
        <w:fldChar w:fldCharType="begin">
          <w:ffData>
            <w:name w:val="c2"/>
            <w:enabled/>
            <w:calcOnExit w:val="0"/>
            <w:textInput/>
          </w:ffData>
        </w:fldChar>
      </w:r>
      <w:bookmarkStart w:id="4" w:name="c2"/>
      <w:r>
        <w:rPr>
          <w:rFonts w:ascii="黑体" w:eastAsia="黑体"/>
          <w:b w:val="0"/>
          <w:w w:val="100"/>
          <w:sz w:val="48"/>
        </w:rPr>
        <w:instrText xml:space="preserve"> FORMTEXT </w:instrText>
      </w:r>
      <w:r>
        <w:rPr>
          <w:rFonts w:ascii="黑体" w:eastAsia="黑体"/>
          <w:b w:val="0"/>
          <w:w w:val="100"/>
          <w:sz w:val="48"/>
        </w:rPr>
        <w:fldChar w:fldCharType="separate"/>
      </w:r>
      <w:r>
        <w:rPr>
          <w:rFonts w:hint="eastAsia" w:ascii="黑体" w:eastAsia="黑体"/>
          <w:b w:val="0"/>
          <w:w w:val="100"/>
          <w:sz w:val="48"/>
        </w:rPr>
        <w:t>湖北省</w:t>
      </w:r>
      <w:r>
        <w:rPr>
          <w:rFonts w:ascii="黑体" w:eastAsia="黑体"/>
          <w:b w:val="0"/>
          <w:w w:val="100"/>
          <w:sz w:val="48"/>
        </w:rPr>
        <w:fldChar w:fldCharType="end"/>
      </w:r>
      <w:bookmarkEnd w:id="4"/>
      <w:r>
        <w:rPr>
          <w:rFonts w:hint="eastAsia" w:ascii="黑体" w:hAnsi="黑体" w:eastAsia="黑体"/>
          <w:b w:val="0"/>
          <w:bCs w:val="0"/>
          <w:w w:val="100"/>
          <w:sz w:val="48"/>
          <w:szCs w:val="48"/>
        </w:rPr>
        <w:t>地方标准</w:t>
      </w:r>
    </w:p>
    <w:bookmarkEnd w:id="2"/>
    <w:p w14:paraId="4BED2752">
      <w:pPr>
        <w:pStyle w:val="195"/>
        <w:rPr>
          <w:lang w:val="fr-FR"/>
        </w:rPr>
      </w:pPr>
      <w:r>
        <w:rPr>
          <w:lang w:val="fr-FR"/>
        </w:rPr>
        <w:t>DB</w:t>
      </w:r>
      <w:r>
        <w:rPr>
          <w:sz w:val="15"/>
          <w:szCs w:val="15"/>
          <w:lang w:val="fr-FR"/>
        </w:rPr>
        <w:t xml:space="preserve"> </w:t>
      </w:r>
      <w:r>
        <w:fldChar w:fldCharType="begin">
          <w:ffData>
            <w:name w:val="文字1"/>
            <w:enabled/>
            <w:calcOnExit w:val="0"/>
            <w:textInput>
              <w:default w:val="XX/T"/>
            </w:textInput>
          </w:ffData>
        </w:fldChar>
      </w:r>
      <w:bookmarkStart w:id="5" w:name="文字1"/>
      <w:r>
        <w:rPr>
          <w:lang w:val="fr-FR"/>
        </w:rPr>
        <w:instrText xml:space="preserve"> FORMTEXT </w:instrText>
      </w:r>
      <w:r>
        <w:fldChar w:fldCharType="separate"/>
      </w:r>
      <w:r>
        <w:t>42</w:t>
      </w:r>
      <w:r>
        <w:rPr>
          <w:lang w:val="fr-FR"/>
        </w:rPr>
        <w:t>/T</w:t>
      </w:r>
      <w:r>
        <w:fldChar w:fldCharType="end"/>
      </w:r>
      <w:bookmarkEnd w:id="5"/>
      <w:r>
        <w:rPr>
          <w:lang w:val="fr-FR"/>
        </w:rPr>
        <w:t xml:space="preserve"> </w:t>
      </w:r>
      <w:r>
        <w:fldChar w:fldCharType="begin">
          <w:ffData>
            <w:name w:val="NSTD_CODE_F"/>
            <w:enabled/>
            <w:calcOnExit w:val="0"/>
            <w:textInput>
              <w:default w:val="XXXX"/>
            </w:textInput>
          </w:ffData>
        </w:fldChar>
      </w:r>
      <w:bookmarkStart w:id="6" w:name="NSTD_CODE_F"/>
      <w:r>
        <w:rPr>
          <w:lang w:val="fr-FR"/>
        </w:rPr>
        <w:instrText xml:space="preserve"> FORMTEXT </w:instrText>
      </w:r>
      <w:r>
        <w:fldChar w:fldCharType="separate"/>
      </w:r>
      <w:r>
        <w:rPr>
          <w:lang w:val="fr-FR"/>
        </w:rPr>
        <w:t>XXXX</w:t>
      </w:r>
      <w:r>
        <w:fldChar w:fldCharType="end"/>
      </w:r>
      <w:bookmarkEnd w:id="6"/>
      <w:r>
        <w:rPr>
          <w:rFonts w:hAnsi="黑体"/>
          <w:lang w:val="fr-FR"/>
        </w:rPr>
        <w:t>—</w:t>
      </w:r>
      <w:r>
        <w:fldChar w:fldCharType="begin">
          <w:ffData>
            <w:name w:val="NSTD_CODE_B"/>
            <w:enabled/>
            <w:calcOnExit w:val="0"/>
            <w:textInput>
              <w:default w:val="XXXX"/>
            </w:textInput>
          </w:ffData>
        </w:fldChar>
      </w:r>
      <w:bookmarkStart w:id="7" w:name="NSTD_CODE_B"/>
      <w:r>
        <w:rPr>
          <w:lang w:val="fr-FR"/>
        </w:rPr>
        <w:instrText xml:space="preserve"> FORMTEXT </w:instrText>
      </w:r>
      <w:r>
        <w:fldChar w:fldCharType="separate"/>
      </w:r>
      <w:r>
        <w:rPr>
          <w:lang w:val="fr-FR"/>
        </w:rPr>
        <w:t>XXXX</w:t>
      </w:r>
      <w:r>
        <w:fldChar w:fldCharType="end"/>
      </w:r>
      <w:bookmarkEnd w:id="7"/>
    </w:p>
    <w:p w14:paraId="06125920">
      <w:pPr>
        <w:pStyle w:val="196"/>
        <w:rPr>
          <w:rFonts w:hAnsi="黑体"/>
        </w:rPr>
      </w:pPr>
      <w:r>
        <w:rPr>
          <w:rFonts w:hAnsi="黑体"/>
        </w:rPr>
        <w:fldChar w:fldCharType="begin">
          <w:ffData>
            <w:name w:val="OSTD_CODE"/>
            <w:enabled/>
            <w:calcOnExit w:val="0"/>
            <w:textInput/>
          </w:ffData>
        </w:fldChar>
      </w:r>
      <w:bookmarkStart w:id="8" w:name="OSTD_CODE"/>
      <w:r>
        <w:rPr>
          <w:rFonts w:hAnsi="黑体"/>
        </w:rPr>
        <w:instrText xml:space="preserve"> FORMTEXT </w:instrText>
      </w:r>
      <w:r>
        <w:rPr>
          <w:rFonts w:hAnsi="黑体"/>
        </w:rPr>
        <w:fldChar w:fldCharType="separate"/>
      </w:r>
      <w:r>
        <w:rPr>
          <w:rFonts w:hAnsi="黑体"/>
        </w:rPr>
        <w:t>     </w:t>
      </w:r>
      <w:r>
        <w:rPr>
          <w:rFonts w:hAnsi="黑体"/>
        </w:rPr>
        <w:fldChar w:fldCharType="end"/>
      </w:r>
      <w:bookmarkEnd w:id="8"/>
    </w:p>
    <w:p w14:paraId="5D1D7168">
      <w:pPr>
        <w:spacing w:line="240" w:lineRule="auto"/>
        <w:rPr>
          <w:rFonts w:ascii="黑体" w:hAnsi="黑体" w:eastAsia="黑体"/>
          <w:kern w:val="0"/>
          <w:sz w:val="10"/>
          <w:szCs w:val="10"/>
        </w:rPr>
      </w:pPr>
      <w:r>
        <w:rPr>
          <w:rFonts w:ascii="黑体" w:hAnsi="黑体" w:eastAsia="黑体"/>
          <w:kern w:val="0"/>
          <w:sz w:val="10"/>
          <w:szCs w:val="10"/>
        </w:rPr>
        <mc:AlternateContent>
          <mc:Choice Requires="wps">
            <w:drawing>
              <wp:anchor distT="0" distB="0" distL="114300" distR="114300" simplePos="0" relativeHeight="251659264"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9pt;margin-top:212.65pt;height:0pt;width:481.9pt;mso-position-horizontal-relative:page;mso-position-vertical-relative:page;z-index:251659264;mso-width-relative:page;mso-height-relative:page;" filled="f" stroked="t" coordsize="21600,21600" o:allowoverlap="f" o:gfxdata="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">
                <v:fill on="f" focussize="0,0"/>
                <v:stroke color="#000000" joinstyle="round"/>
                <v:imagedata o:title=""/>
                <o:lock v:ext="edit" aspectratio="f"/>
              </v:line>
            </w:pict>
          </mc:Fallback>
        </mc:AlternateContent>
      </w:r>
    </w:p>
    <w:p w14:paraId="4B37EC84">
      <w:pPr>
        <w:pStyle w:val="50"/>
        <w:framePr w:w="9639" w:h="6976" w:hRule="exact" w:hSpace="0" w:vSpace="0" w:wrap="around" w:hAnchor="page" w:y="6408"/>
        <w:jc w:val="center"/>
        <w:rPr>
          <w:rFonts w:ascii="黑体" w:hAnsi="黑体" w:eastAsia="黑体"/>
          <w:b w:val="0"/>
          <w:bCs w:val="0"/>
          <w:w w:val="100"/>
        </w:rPr>
      </w:pPr>
    </w:p>
    <w:p w14:paraId="1E7BD474">
      <w:pPr>
        <w:pStyle w:val="197"/>
        <w:framePr w:h="6974" w:hRule="exact" w:wrap="around" w:x="1419" w:anchorLock="1"/>
      </w:pPr>
      <w:r>
        <w:fldChar w:fldCharType="begin">
          <w:ffData>
            <w:name w:val="CSTD_NAME"/>
            <w:enabled/>
            <w:calcOnExit w:val="0"/>
            <w:textInput>
              <w:default w:val="点击此处添加标准名称"/>
            </w:textInput>
          </w:ffData>
        </w:fldChar>
      </w:r>
      <w:bookmarkStart w:id="9" w:name="CSTD_NAME"/>
      <w:r>
        <w:instrText xml:space="preserve"> FORMTEXT </w:instrText>
      </w:r>
      <w:r>
        <w:fldChar w:fldCharType="separate"/>
      </w:r>
      <w:r>
        <w:rPr>
          <w:rFonts w:hint="eastAsia"/>
        </w:rPr>
        <w:t>危险废物利用处置污染控制技术规范</w:t>
      </w:r>
      <w:r>
        <w:t xml:space="preserve"> </w:t>
      </w:r>
    </w:p>
    <w:p w14:paraId="3FC60D3D">
      <w:pPr>
        <w:pStyle w:val="197"/>
        <w:framePr w:h="6974" w:hRule="exact" w:wrap="around" w:x="1419" w:anchorLock="1"/>
      </w:pPr>
      <w:r>
        <w:rPr>
          <w:rFonts w:hint="eastAsia"/>
        </w:rPr>
        <w:t>第3</w:t>
      </w:r>
      <w:r>
        <w:t>部分:含铜蚀刻废液</w:t>
      </w:r>
      <w:r>
        <w:fldChar w:fldCharType="end"/>
      </w:r>
      <w:bookmarkEnd w:id="9"/>
    </w:p>
    <w:p w14:paraId="132D95B2">
      <w:pPr>
        <w:framePr w:w="9639" w:h="6974" w:hRule="exact" w:wrap="around" w:vAnchor="page" w:hAnchor="page" w:x="1419" w:y="6408" w:anchorLock="1"/>
        <w:ind w:left="-1418"/>
      </w:pPr>
    </w:p>
    <w:p w14:paraId="3517F5A0">
      <w:pPr>
        <w:pStyle w:val="125"/>
        <w:framePr w:w="9639" w:h="6974" w:hRule="exact" w:wrap="around" w:vAnchor="page" w:hAnchor="page" w:x="1419" w:y="6408" w:anchorLock="1"/>
        <w:textAlignment w:val="bottom"/>
        <w:rPr>
          <w:rFonts w:eastAsia="黑体"/>
          <w:szCs w:val="28"/>
        </w:rPr>
      </w:pPr>
      <w:r>
        <w:rPr>
          <w:rFonts w:eastAsia="黑体"/>
          <w:szCs w:val="28"/>
        </w:rPr>
        <w:fldChar w:fldCharType="begin">
          <w:ffData>
            <w:name w:val="ESTD_NAME"/>
            <w:enabled/>
            <w:calcOnExit w:val="0"/>
            <w:textInput>
              <w:default w:val="点击此处添加标准名称的英文译名"/>
            </w:textInput>
          </w:ffData>
        </w:fldChar>
      </w:r>
      <w:bookmarkStart w:id="10" w:name="ESTD_NAME"/>
      <w:r>
        <w:rPr>
          <w:rFonts w:eastAsia="黑体"/>
          <w:szCs w:val="28"/>
        </w:rPr>
        <w:instrText xml:space="preserve"> FORMTEXT </w:instrText>
      </w:r>
      <w:r>
        <w:rPr>
          <w:rFonts w:eastAsia="黑体"/>
          <w:szCs w:val="28"/>
        </w:rPr>
        <w:fldChar w:fldCharType="separate"/>
      </w:r>
      <w:r>
        <w:rPr>
          <w:rFonts w:eastAsia="黑体"/>
          <w:szCs w:val="28"/>
        </w:rPr>
        <w:t xml:space="preserve">Technical specifications for Pollution Control of Hazardous Waste Utilization and Disposal </w:t>
      </w:r>
    </w:p>
    <w:p w14:paraId="4BF0E4E6">
      <w:pPr>
        <w:pStyle w:val="125"/>
        <w:framePr w:w="9639" w:h="6974" w:hRule="exact" w:wrap="around" w:vAnchor="page" w:hAnchor="page" w:x="1419" w:y="6408" w:anchorLock="1"/>
        <w:textAlignment w:val="bottom"/>
        <w:rPr>
          <w:rFonts w:eastAsia="黑体"/>
          <w:szCs w:val="28"/>
        </w:rPr>
      </w:pPr>
      <w:r>
        <w:rPr>
          <w:rFonts w:eastAsia="黑体"/>
          <w:szCs w:val="28"/>
        </w:rPr>
        <w:t xml:space="preserve">Part 3 copper-containing etching waste </w:t>
      </w:r>
      <w:r>
        <w:rPr>
          <w:rFonts w:eastAsia="黑体"/>
          <w:szCs w:val="28"/>
        </w:rPr>
        <w:fldChar w:fldCharType="end"/>
      </w:r>
      <w:bookmarkEnd w:id="10"/>
    </w:p>
    <w:p w14:paraId="3FB3B627">
      <w:pPr>
        <w:framePr w:w="9639" w:h="6974" w:hRule="exact" w:wrap="around" w:vAnchor="page" w:hAnchor="page" w:x="1419" w:y="6408" w:anchorLock="1"/>
        <w:spacing w:line="760" w:lineRule="exact"/>
        <w:ind w:left="-1418"/>
      </w:pPr>
    </w:p>
    <w:p w14:paraId="58007D92">
      <w:pPr>
        <w:pStyle w:val="125"/>
        <w:framePr w:w="9639" w:h="6974" w:hRule="exact" w:wrap="around" w:vAnchor="page" w:hAnchor="page" w:x="1419" w:y="6408" w:anchorLock="1"/>
        <w:textAlignment w:val="bottom"/>
        <w:rPr>
          <w:rFonts w:eastAsia="黑体"/>
          <w:szCs w:val="28"/>
        </w:rPr>
      </w:pPr>
    </w:p>
    <w:p w14:paraId="2EC7C8FF">
      <w:pPr>
        <w:pStyle w:val="125"/>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result w:val="2"/>
              <w:listEntry w:val=" "/>
              <w:listEntry w:val="草案版次选择"/>
              <w:listEntry w:val="（工作组讨论稿）"/>
              <w:listEntry w:val="（征求意见稿）"/>
              <w:listEntry w:val="（送审讨论稿）"/>
              <w:listEntry w:val="（送审稿）"/>
              <w:listEntry w:val="（报批稿）"/>
            </w:ddList>
          </w:ffData>
        </w:fldChar>
      </w:r>
      <w:bookmarkStart w:id="11" w:name="下拉1"/>
      <w:r>
        <w:rPr>
          <w:sz w:val="24"/>
          <w:szCs w:val="28"/>
        </w:rPr>
        <w:instrText xml:space="preserve"> FORMDROPDOWN </w:instrText>
      </w:r>
      <w:r>
        <w:rPr>
          <w:sz w:val="24"/>
          <w:szCs w:val="28"/>
        </w:rPr>
        <w:fldChar w:fldCharType="separate"/>
      </w:r>
      <w:r>
        <w:rPr>
          <w:sz w:val="24"/>
          <w:szCs w:val="28"/>
        </w:rPr>
        <w:fldChar w:fldCharType="end"/>
      </w:r>
      <w:bookmarkEnd w:id="11"/>
    </w:p>
    <w:p w14:paraId="15C80738">
      <w:pPr>
        <w:pStyle w:val="125"/>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2" w:name="CMPLSH_DATE"/>
      <w:r>
        <w:rPr>
          <w:sz w:val="21"/>
          <w:szCs w:val="28"/>
        </w:rPr>
        <w:instrText xml:space="preserve"> FORMTEXT </w:instrText>
      </w:r>
      <w:r>
        <w:rPr>
          <w:sz w:val="21"/>
          <w:szCs w:val="28"/>
        </w:rPr>
        <w:fldChar w:fldCharType="separate"/>
      </w:r>
      <w:r>
        <w:rPr>
          <w:sz w:val="21"/>
          <w:szCs w:val="28"/>
        </w:rPr>
        <w:t>     </w:t>
      </w:r>
      <w:r>
        <w:rPr>
          <w:sz w:val="21"/>
          <w:szCs w:val="28"/>
        </w:rPr>
        <w:fldChar w:fldCharType="end"/>
      </w:r>
      <w:bookmarkEnd w:id="12"/>
    </w:p>
    <w:p w14:paraId="55F07DC5">
      <w:pPr>
        <w:pStyle w:val="125"/>
        <w:framePr w:w="9639" w:h="6974" w:hRule="exact" w:wrap="around" w:vAnchor="page" w:hAnchor="page" w:x="1419" w:y="6408" w:anchorLock="1"/>
        <w:spacing w:before="720" w:beforeLines="300" w:after="72" w:afterLines="30"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3" w:name="下拉2"/>
      <w:r>
        <w:rPr>
          <w:b/>
          <w:sz w:val="21"/>
          <w:szCs w:val="28"/>
        </w:rPr>
        <w:instrText xml:space="preserve"> FORMDROPDOWN </w:instrText>
      </w:r>
      <w:r>
        <w:rPr>
          <w:b/>
          <w:sz w:val="21"/>
          <w:szCs w:val="28"/>
        </w:rPr>
        <w:fldChar w:fldCharType="separate"/>
      </w:r>
      <w:r>
        <w:rPr>
          <w:b/>
          <w:sz w:val="21"/>
          <w:szCs w:val="28"/>
        </w:rPr>
        <w:fldChar w:fldCharType="end"/>
      </w:r>
      <w:bookmarkEnd w:id="13"/>
    </w:p>
    <w:p w14:paraId="0790A0D3">
      <w:pPr>
        <w:pStyle w:val="193"/>
        <w:framePr w:wrap="around" w:y="14176"/>
      </w:pPr>
      <w:r>
        <w:rPr>
          <w:rFonts w:ascii="黑体"/>
        </w:rPr>
        <w:fldChar w:fldCharType="begin">
          <w:ffData>
            <w:name w:val="PLSH_DATE_Y"/>
            <w:enabled/>
            <w:calcOnExit w:val="0"/>
            <w:textInput>
              <w:default w:val="XXXX"/>
              <w:maxLength w:val="4"/>
            </w:textInput>
          </w:ffData>
        </w:fldChar>
      </w:r>
      <w:bookmarkStart w:id="14" w:name="PLSH_DATE_Y"/>
      <w:r>
        <w:rPr>
          <w:rFonts w:ascii="黑体"/>
        </w:rPr>
        <w:instrText xml:space="preserve"> FORMTEXT </w:instrText>
      </w:r>
      <w:r>
        <w:rPr>
          <w:rFonts w:ascii="黑体"/>
        </w:rPr>
        <w:fldChar w:fldCharType="separate"/>
      </w:r>
      <w:r>
        <w:rPr>
          <w:rFonts w:ascii="黑体"/>
        </w:rPr>
        <w:t>    </w:t>
      </w:r>
      <w:r>
        <w:rPr>
          <w:rFonts w:ascii="黑体"/>
        </w:rPr>
        <w:fldChar w:fldCharType="end"/>
      </w:r>
      <w:bookmarkEnd w:id="14"/>
      <w:r>
        <w:t xml:space="preserve"> </w:t>
      </w:r>
      <w:r>
        <w:rPr>
          <w:rFonts w:ascii="黑体"/>
        </w:rPr>
        <w:t>-</w:t>
      </w:r>
      <w:r>
        <w:t xml:space="preserve"> </w:t>
      </w:r>
      <w:r>
        <w:rPr>
          <w:rFonts w:ascii="黑体"/>
        </w:rPr>
        <w:fldChar w:fldCharType="begin">
          <w:ffData>
            <w:name w:val="PLSH_DATE_M"/>
            <w:enabled/>
            <w:calcOnExit w:val="0"/>
            <w:textInput>
              <w:default w:val="XX"/>
              <w:maxLength w:val="2"/>
            </w:textInput>
          </w:ffData>
        </w:fldChar>
      </w:r>
      <w:bookmarkStart w:id="15" w:name="PLSH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5"/>
      <w:r>
        <w:t xml:space="preserve"> </w:t>
      </w:r>
      <w:r>
        <w:rPr>
          <w:rFonts w:ascii="黑体"/>
        </w:rPr>
        <w:t>-</w:t>
      </w:r>
      <w:r>
        <w:t xml:space="preserve"> </w:t>
      </w:r>
      <w:r>
        <w:rPr>
          <w:rFonts w:ascii="黑体"/>
        </w:rPr>
        <w:fldChar w:fldCharType="begin">
          <w:ffData>
            <w:name w:val="PLSH_DATE_D"/>
            <w:enabled/>
            <w:calcOnExit w:val="0"/>
            <w:textInput>
              <w:default w:val="XX"/>
              <w:maxLength w:val="2"/>
            </w:textInput>
          </w:ffData>
        </w:fldChar>
      </w:r>
      <w:bookmarkStart w:id="16" w:name="PLSH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6"/>
      <w:r>
        <w:rPr>
          <w:rFonts w:hint="eastAsia"/>
        </w:rPr>
        <w:t>发布</w:t>
      </w:r>
    </w:p>
    <w:p w14:paraId="64C19457">
      <w:pPr>
        <w:pStyle w:val="194"/>
        <w:framePr w:wrap="around" w:y="14176"/>
      </w:pPr>
      <w:r>
        <w:rPr>
          <w:rFonts w:ascii="黑体"/>
        </w:rPr>
        <w:fldChar w:fldCharType="begin">
          <w:ffData>
            <w:name w:val="CROT_DATE_Y"/>
            <w:enabled/>
            <w:calcOnExit w:val="0"/>
            <w:textInput>
              <w:default w:val="XXXX"/>
              <w:maxLength w:val="4"/>
            </w:textInput>
          </w:ffData>
        </w:fldChar>
      </w:r>
      <w:bookmarkStart w:id="17" w:name="CROT_DATE_Y"/>
      <w:r>
        <w:rPr>
          <w:rFonts w:ascii="黑体"/>
        </w:rPr>
        <w:instrText xml:space="preserve"> FORMTEXT </w:instrText>
      </w:r>
      <w:r>
        <w:rPr>
          <w:rFonts w:ascii="黑体"/>
        </w:rPr>
        <w:fldChar w:fldCharType="separate"/>
      </w:r>
      <w:r>
        <w:rPr>
          <w:rFonts w:ascii="黑体"/>
        </w:rPr>
        <w:t>XXXX</w:t>
      </w:r>
      <w:r>
        <w:rPr>
          <w:rFonts w:ascii="黑体"/>
        </w:rPr>
        <w:fldChar w:fldCharType="end"/>
      </w:r>
      <w:bookmarkEnd w:id="17"/>
      <w:r>
        <w:t xml:space="preserve"> </w:t>
      </w:r>
      <w:r>
        <w:rPr>
          <w:rFonts w:ascii="黑体"/>
        </w:rPr>
        <w:t>-</w:t>
      </w:r>
      <w:r>
        <w:t xml:space="preserve"> </w:t>
      </w:r>
      <w:r>
        <w:rPr>
          <w:rFonts w:ascii="黑体"/>
        </w:rPr>
        <w:fldChar w:fldCharType="begin">
          <w:ffData>
            <w:name w:val="CROT_DATE_M"/>
            <w:enabled/>
            <w:calcOnExit w:val="0"/>
            <w:textInput>
              <w:default w:val="XX"/>
              <w:maxLength w:val="2"/>
            </w:textInput>
          </w:ffData>
        </w:fldChar>
      </w:r>
      <w:bookmarkStart w:id="18" w:name="CROT_DATE_M"/>
      <w:r>
        <w:rPr>
          <w:rFonts w:ascii="黑体"/>
        </w:rPr>
        <w:instrText xml:space="preserve"> FORMTEXT </w:instrText>
      </w:r>
      <w:r>
        <w:rPr>
          <w:rFonts w:ascii="黑体"/>
        </w:rPr>
        <w:fldChar w:fldCharType="separate"/>
      </w:r>
      <w:r>
        <w:rPr>
          <w:rFonts w:ascii="黑体"/>
        </w:rPr>
        <w:t>XX</w:t>
      </w:r>
      <w:r>
        <w:rPr>
          <w:rFonts w:ascii="黑体"/>
        </w:rPr>
        <w:fldChar w:fldCharType="end"/>
      </w:r>
      <w:bookmarkEnd w:id="18"/>
      <w:r>
        <w:t xml:space="preserve"> </w:t>
      </w:r>
      <w:r>
        <w:rPr>
          <w:rFonts w:ascii="黑体"/>
        </w:rPr>
        <w:t>-</w:t>
      </w:r>
      <w:r>
        <w:t xml:space="preserve"> </w:t>
      </w:r>
      <w:r>
        <w:rPr>
          <w:rFonts w:ascii="黑体"/>
        </w:rPr>
        <w:fldChar w:fldCharType="begin">
          <w:ffData>
            <w:name w:val="CROT_DATE_D"/>
            <w:enabled/>
            <w:calcOnExit w:val="0"/>
            <w:textInput>
              <w:default w:val="XX"/>
              <w:maxLength w:val="2"/>
            </w:textInput>
          </w:ffData>
        </w:fldChar>
      </w:r>
      <w:bookmarkStart w:id="19" w:name="CROT_DATE_D"/>
      <w:r>
        <w:rPr>
          <w:rFonts w:ascii="黑体"/>
        </w:rPr>
        <w:instrText xml:space="preserve"> FORMTEXT </w:instrText>
      </w:r>
      <w:r>
        <w:rPr>
          <w:rFonts w:ascii="黑体"/>
        </w:rPr>
        <w:fldChar w:fldCharType="separate"/>
      </w:r>
      <w:r>
        <w:rPr>
          <w:rFonts w:ascii="黑体"/>
        </w:rPr>
        <w:t>XX</w:t>
      </w:r>
      <w:r>
        <w:rPr>
          <w:rFonts w:ascii="黑体"/>
        </w:rPr>
        <w:fldChar w:fldCharType="end"/>
      </w:r>
      <w:bookmarkEnd w:id="19"/>
      <w:r>
        <w:rPr>
          <w:rFonts w:hint="eastAsia"/>
        </w:rPr>
        <w:t>实施</w:t>
      </w:r>
    </w:p>
    <w:p w14:paraId="1C1AA565">
      <w:pPr>
        <w:pStyle w:val="151"/>
        <w:framePr w:h="584" w:hRule="exact" w:hSpace="181" w:vSpace="181" w:wrap="around" w:y="15027"/>
        <w:rPr>
          <w:rFonts w:hAnsi="黑体"/>
        </w:rPr>
      </w:pPr>
      <w:r>
        <w:rPr>
          <w:rFonts w:hAnsi="黑体"/>
          <w:w w:val="100"/>
          <w:sz w:val="28"/>
        </w:rPr>
        <w:fldChar w:fldCharType="begin">
          <w:ffData>
            <w:name w:val="fm"/>
            <w:enabled/>
            <w:calcOnExit w:val="0"/>
            <w:textInput/>
          </w:ffData>
        </w:fldChar>
      </w:r>
      <w:bookmarkStart w:id="20" w:name="fm"/>
      <w:r>
        <w:rPr>
          <w:rFonts w:hAnsi="黑体"/>
          <w:w w:val="100"/>
          <w:sz w:val="28"/>
        </w:rPr>
        <w:instrText xml:space="preserve"> FORMTEXT </w:instrText>
      </w:r>
      <w:r>
        <w:rPr>
          <w:rFonts w:hAnsi="黑体"/>
          <w:w w:val="100"/>
          <w:sz w:val="28"/>
        </w:rPr>
        <w:fldChar w:fldCharType="separate"/>
      </w:r>
      <w:r>
        <w:rPr>
          <w:rFonts w:hAnsi="黑体"/>
          <w:w w:val="100"/>
          <w:sz w:val="28"/>
        </w:rPr>
        <w:t>     </w:t>
      </w:r>
      <w:r>
        <w:rPr>
          <w:rFonts w:hAnsi="黑体"/>
          <w:w w:val="100"/>
          <w:sz w:val="28"/>
        </w:rPr>
        <w:fldChar w:fldCharType="end"/>
      </w:r>
      <w:bookmarkEnd w:id="20"/>
      <w:r>
        <w:rPr>
          <w:rFonts w:ascii="Times New Roman"/>
          <w:w w:val="100"/>
          <w:sz w:val="28"/>
        </w:rPr>
        <w:t>  </w:t>
      </w:r>
      <w:r>
        <w:rPr>
          <w:rStyle w:val="229"/>
          <w:rFonts w:hint="eastAsia" w:hAnsi="黑体"/>
          <w:position w:val="0"/>
        </w:rPr>
        <w:t>发</w:t>
      </w:r>
      <w:r>
        <w:rPr>
          <w:rStyle w:val="229"/>
          <w:rFonts w:hint="eastAsia" w:hAnsi="黑体"/>
          <w:spacing w:val="0"/>
          <w:position w:val="0"/>
        </w:rPr>
        <w:t>布</w:t>
      </w:r>
    </w:p>
    <w:p w14:paraId="4EB67359">
      <w:pPr>
        <w:rPr>
          <w:rFonts w:ascii="宋体" w:hAnsi="宋体"/>
          <w:sz w:val="28"/>
          <w:szCs w:val="28"/>
        </w:rPr>
        <w:sectPr>
          <w:headerReference r:id="rId6" w:type="first"/>
          <w:footerReference r:id="rId8" w:type="first"/>
          <w:headerReference r:id="rId5" w:type="default"/>
          <w:footerReference r:id="rId7" w:type="even"/>
          <w:type w:val="continuous"/>
          <w:pgSz w:w="11906" w:h="16838"/>
          <w:pgMar w:top="-338" w:right="1134" w:bottom="1021" w:left="1134" w:header="0" w:footer="0" w:gutter="284"/>
          <w:cols w:space="425" w:num="1"/>
          <w:titlePg/>
          <w:docGrid w:linePitch="312" w:charSpace="0"/>
        </w:sectPr>
      </w:pPr>
      <w:r>
        <w:rPr>
          <w:rFonts w:hint="eastAsia" w:ascii="宋体" w:hAnsi="宋体"/>
          <w:sz w:val="28"/>
          <w:szCs w:val="28"/>
        </w:rPr>
        <mc:AlternateContent>
          <mc:Choice Requires="wps">
            <w:drawing>
              <wp:anchor distT="0" distB="0" distL="114300" distR="114300" simplePos="0" relativeHeight="251660288" behindDoc="0" locked="1" layoutInCell="1" allowOverlap="1">
                <wp:simplePos x="0" y="0"/>
                <wp:positionH relativeFrom="page">
                  <wp:posOffset>899795</wp:posOffset>
                </wp:positionH>
                <wp:positionV relativeFrom="page">
                  <wp:posOffset>9253220</wp:posOffset>
                </wp:positionV>
                <wp:extent cx="6120130" cy="0"/>
                <wp:effectExtent l="0" t="0" r="0" b="0"/>
                <wp:wrapNone/>
                <wp:docPr id="5" name="直接连接符 5"/>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wps:spPr>
                      <wps:bodyPr/>
                    </wps:wsp>
                  </a:graphicData>
                </a:graphic>
              </wp:anchor>
            </w:drawing>
          </mc:Choice>
          <mc:Fallback>
            <w:pict>
              <v:line id="_x0000_s1026" o:spid="_x0000_s1026" o:spt="20" style="position:absolute;left:0pt;margin-left:70.85pt;margin-top:728.6pt;height:0pt;width:481.9pt;mso-position-horizontal-relative:page;mso-position-vertical-relative:page;z-index:251660288;mso-width-relative:page;mso-height-relative:page;" filled="f" stroked="t" coordsize="21600,21600" o:gfxdata="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CrMxz71wAAAA4B&#10;AAAPAAAAAAAAAAEAIAAAACIAAABkcnMvZG93bnJldi54bWxQSwECFAAUAAAACACHTuJAWS4lmOMB&#10;AACqAwAADgAAAAAAAAABACAAAAAmAQAAZHJzL2Uyb0RvYy54bWxQSwUGAAAAAAYABgBZAQAAewUA&#10;AAAA&#10;">
                <v:fill on="f" focussize="0,0"/>
                <v:stroke color="#000000" joinstyle="round"/>
                <v:imagedata o:title=""/>
                <o:lock v:ext="edit" aspectratio="f"/>
                <w10:anchorlock/>
              </v:line>
            </w:pict>
          </mc:Fallback>
        </mc:AlternateContent>
      </w:r>
    </w:p>
    <w:p w14:paraId="458C1060">
      <w:pPr>
        <w:pStyle w:val="91"/>
        <w:spacing w:after="468"/>
      </w:pPr>
      <w:bookmarkStart w:id="21" w:name="BookMark1"/>
      <w:r>
        <w:rPr>
          <w:rFonts w:hint="eastAsia"/>
          <w:spacing w:val="320"/>
        </w:rPr>
        <w:t>目</w:t>
      </w:r>
      <w:r>
        <w:rPr>
          <w:rFonts w:hint="eastAsia"/>
        </w:rPr>
        <w:t>次</w:t>
      </w:r>
    </w:p>
    <w:p w14:paraId="6383B573">
      <w:pPr>
        <w:pStyle w:val="19"/>
        <w:tabs>
          <w:tab w:val="right" w:leader="dot" w:pos="9344"/>
        </w:tabs>
        <w:rPr>
          <w:rFonts w:asciiTheme="minorHAnsi" w:hAnsiTheme="minorHAnsi" w:eastAsiaTheme="minorEastAsia" w:cstheme="minorBidi"/>
          <w:szCs w:val="22"/>
        </w:rPr>
      </w:pPr>
      <w:r>
        <w:fldChar w:fldCharType="begin"/>
      </w:r>
      <w:r>
        <w:instrText xml:space="preserve"> TOC \o "1-1" \h \t "标准文件_一级条标题,2,标准文件_附录一级条标题,2," </w:instrText>
      </w:r>
      <w:r>
        <w:fldChar w:fldCharType="separate"/>
      </w:r>
      <w:r>
        <w:fldChar w:fldCharType="begin"/>
      </w:r>
      <w:r>
        <w:instrText xml:space="preserve"> HYPERLINK \l "_Toc163045568" </w:instrText>
      </w:r>
      <w:r>
        <w:fldChar w:fldCharType="separate"/>
      </w:r>
      <w:r>
        <w:rPr>
          <w:rStyle w:val="32"/>
        </w:rPr>
        <w:t>前言</w:t>
      </w:r>
      <w:r>
        <w:tab/>
      </w:r>
      <w:r>
        <w:fldChar w:fldCharType="begin"/>
      </w:r>
      <w:r>
        <w:instrText xml:space="preserve"> PAGEREF _Toc163045568 \h </w:instrText>
      </w:r>
      <w:r>
        <w:fldChar w:fldCharType="separate"/>
      </w:r>
      <w:r>
        <w:t>II</w:t>
      </w:r>
      <w:r>
        <w:fldChar w:fldCharType="end"/>
      </w:r>
      <w:r>
        <w:fldChar w:fldCharType="end"/>
      </w:r>
    </w:p>
    <w:p w14:paraId="3E1E9F62">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"_Toc163045569" </w:instrText>
      </w:r>
      <w:r>
        <w:fldChar w:fldCharType="separate"/>
      </w:r>
      <w:r>
        <w:rPr>
          <w:rStyle w:val="32"/>
        </w:rPr>
        <w:t>1  范围</w:t>
      </w:r>
      <w:r>
        <w:tab/>
      </w:r>
      <w:r>
        <w:fldChar w:fldCharType="begin"/>
      </w:r>
      <w:r>
        <w:instrText xml:space="preserve"> PAGEREF _Toc163045569 \h </w:instrText>
      </w:r>
      <w:r>
        <w:fldChar w:fldCharType="separate"/>
      </w:r>
      <w:r>
        <w:t>1</w:t>
      </w:r>
      <w:r>
        <w:fldChar w:fldCharType="end"/>
      </w:r>
      <w:r>
        <w:fldChar w:fldCharType="end"/>
      </w:r>
    </w:p>
    <w:p w14:paraId="590F195A">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"_Toc163045570" </w:instrText>
      </w:r>
      <w:r>
        <w:fldChar w:fldCharType="separate"/>
      </w:r>
      <w:r>
        <w:rPr>
          <w:rStyle w:val="32"/>
        </w:rPr>
        <w:t>2  规范性引用文件</w:t>
      </w:r>
      <w:r>
        <w:tab/>
      </w:r>
      <w:r>
        <w:fldChar w:fldCharType="begin"/>
      </w:r>
      <w:r>
        <w:instrText xml:space="preserve"> PAGEREF _Toc163045570 \h </w:instrText>
      </w:r>
      <w:r>
        <w:fldChar w:fldCharType="separate"/>
      </w:r>
      <w:r>
        <w:t>1</w:t>
      </w:r>
      <w:r>
        <w:fldChar w:fldCharType="end"/>
      </w:r>
      <w:r>
        <w:fldChar w:fldCharType="end"/>
      </w:r>
    </w:p>
    <w:p w14:paraId="739C711C">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"_Toc163045571" </w:instrText>
      </w:r>
      <w:r>
        <w:fldChar w:fldCharType="separate"/>
      </w:r>
      <w:r>
        <w:rPr>
          <w:rStyle w:val="32"/>
        </w:rPr>
        <w:t>3  术语和定义</w:t>
      </w:r>
      <w:r>
        <w:tab/>
      </w:r>
      <w:r>
        <w:fldChar w:fldCharType="begin"/>
      </w:r>
      <w:r>
        <w:instrText xml:space="preserve"> PAGEREF _Toc163045571 \h </w:instrText>
      </w:r>
      <w:r>
        <w:fldChar w:fldCharType="separate"/>
      </w:r>
      <w:r>
        <w:t>1</w:t>
      </w:r>
      <w:r>
        <w:fldChar w:fldCharType="end"/>
      </w:r>
      <w:r>
        <w:fldChar w:fldCharType="end"/>
      </w:r>
    </w:p>
    <w:p w14:paraId="4A9121E3">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"_Toc163045572" </w:instrText>
      </w:r>
      <w:r>
        <w:fldChar w:fldCharType="separate"/>
      </w:r>
      <w:r>
        <w:rPr>
          <w:rStyle w:val="32"/>
        </w:rPr>
        <w:t>4  总体要求</w:t>
      </w:r>
      <w:r>
        <w:tab/>
      </w:r>
      <w:r>
        <w:fldChar w:fldCharType="begin"/>
      </w:r>
      <w:r>
        <w:instrText xml:space="preserve"> PAGEREF _Toc163045572 \h </w:instrText>
      </w:r>
      <w:r>
        <w:fldChar w:fldCharType="separate"/>
      </w:r>
      <w:r>
        <w:t>3</w:t>
      </w:r>
      <w:r>
        <w:fldChar w:fldCharType="end"/>
      </w:r>
      <w:r>
        <w:fldChar w:fldCharType="end"/>
      </w:r>
    </w:p>
    <w:p w14:paraId="3EB989B5">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"_Toc163045573" </w:instrText>
      </w:r>
      <w:r>
        <w:fldChar w:fldCharType="separate"/>
      </w:r>
      <w:r>
        <w:rPr>
          <w:rStyle w:val="32"/>
        </w:rPr>
        <w:t>5  入厂分析</w:t>
      </w:r>
      <w:r>
        <w:tab/>
      </w:r>
      <w:r>
        <w:fldChar w:fldCharType="begin"/>
      </w:r>
      <w:r>
        <w:instrText xml:space="preserve"> PAGEREF _Toc163045573 \h </w:instrText>
      </w:r>
      <w:r>
        <w:fldChar w:fldCharType="separate"/>
      </w:r>
      <w:r>
        <w:t>3</w:t>
      </w:r>
      <w:r>
        <w:fldChar w:fldCharType="end"/>
      </w:r>
      <w:r>
        <w:fldChar w:fldCharType="end"/>
      </w:r>
    </w:p>
    <w:p w14:paraId="5B8152B1">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"_Toc163045574" </w:instrText>
      </w:r>
      <w:r>
        <w:fldChar w:fldCharType="separate"/>
      </w:r>
      <w:r>
        <w:rPr>
          <w:rStyle w:val="32"/>
        </w:rPr>
        <w:t>6  贮存</w:t>
      </w:r>
      <w:r>
        <w:tab/>
      </w:r>
      <w:r>
        <w:fldChar w:fldCharType="begin"/>
      </w:r>
      <w:r>
        <w:instrText xml:space="preserve"> PAGEREF _Toc163045574 \h </w:instrText>
      </w:r>
      <w:r>
        <w:fldChar w:fldCharType="separate"/>
      </w:r>
      <w:r>
        <w:t>3</w:t>
      </w:r>
      <w:r>
        <w:fldChar w:fldCharType="end"/>
      </w:r>
      <w:r>
        <w:fldChar w:fldCharType="end"/>
      </w:r>
    </w:p>
    <w:p w14:paraId="101D40A0">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"_Toc163045575" </w:instrText>
      </w:r>
      <w:r>
        <w:fldChar w:fldCharType="separate"/>
      </w:r>
      <w:r>
        <w:rPr>
          <w:rStyle w:val="32"/>
        </w:rPr>
        <w:t>7  工艺过程</w:t>
      </w:r>
      <w:r>
        <w:tab/>
      </w:r>
      <w:r>
        <w:fldChar w:fldCharType="begin"/>
      </w:r>
      <w:r>
        <w:instrText xml:space="preserve"> PAGEREF _Toc163045575 \h </w:instrText>
      </w:r>
      <w:r>
        <w:fldChar w:fldCharType="separate"/>
      </w:r>
      <w:r>
        <w:t>3</w:t>
      </w:r>
      <w:r>
        <w:fldChar w:fldCharType="end"/>
      </w:r>
      <w:r>
        <w:fldChar w:fldCharType="end"/>
      </w:r>
    </w:p>
    <w:p w14:paraId="63CB5A35">
      <w:pPr>
        <w:pStyle w:val="24"/>
        <w:rPr>
          <w:rFonts w:asciiTheme="minorHAnsi" w:hAnsiTheme="minorHAnsi" w:eastAsiaTheme="minorEastAsia" w:cstheme="minorBidi"/>
          <w:szCs w:val="22"/>
        </w:rPr>
      </w:pPr>
      <w:r>
        <w:fldChar w:fldCharType="begin"/>
      </w:r>
      <w:r>
        <w:instrText xml:space="preserve"> HYPERLINK \l "_Toc163045576" </w:instrText>
      </w:r>
      <w:r>
        <w:fldChar w:fldCharType="separate"/>
      </w:r>
      <w:r>
        <w:rPr>
          <w:rStyle w:val="32"/>
          <w14:scene3d>
            <w14:lightRig w14:rig="threePt" w14:dir="t">
              <w14:rot w14:lat="0" w14:lon="0" w14:rev="0"/>
            </w14:lightRig>
          </w14:scene3d>
        </w:rPr>
        <w:t xml:space="preserve">7.1 </w:t>
      </w:r>
      <w:r>
        <w:rPr>
          <w:rStyle w:val="32"/>
        </w:rPr>
        <w:t xml:space="preserve"> 一般要求</w:t>
      </w:r>
      <w:r>
        <w:tab/>
      </w:r>
      <w:r>
        <w:fldChar w:fldCharType="begin"/>
      </w:r>
      <w:r>
        <w:instrText xml:space="preserve"> PAGEREF _Toc163045576 \h </w:instrText>
      </w:r>
      <w:r>
        <w:fldChar w:fldCharType="separate"/>
      </w:r>
      <w:r>
        <w:t>3</w:t>
      </w:r>
      <w:r>
        <w:fldChar w:fldCharType="end"/>
      </w:r>
      <w:r>
        <w:fldChar w:fldCharType="end"/>
      </w:r>
    </w:p>
    <w:p w14:paraId="77763367">
      <w:pPr>
        <w:pStyle w:val="24"/>
        <w:rPr>
          <w:rFonts w:asciiTheme="minorHAnsi" w:hAnsiTheme="minorHAnsi" w:eastAsiaTheme="minorEastAsia" w:cstheme="minorBidi"/>
          <w:szCs w:val="22"/>
        </w:rPr>
      </w:pPr>
      <w:r>
        <w:fldChar w:fldCharType="begin"/>
      </w:r>
      <w:r>
        <w:instrText xml:space="preserve"> HYPERLINK \l "_Toc163045577" </w:instrText>
      </w:r>
      <w:r>
        <w:fldChar w:fldCharType="separate"/>
      </w:r>
      <w:r>
        <w:rPr>
          <w:rStyle w:val="32"/>
          <w14:scene3d>
            <w14:lightRig w14:rig="threePt" w14:dir="t">
              <w14:rot w14:lat="0" w14:lon="0" w14:rev="0"/>
            </w14:lightRig>
          </w14:scene3d>
        </w:rPr>
        <w:t xml:space="preserve">7.2 </w:t>
      </w:r>
      <w:r>
        <w:rPr>
          <w:rStyle w:val="32"/>
        </w:rPr>
        <w:t xml:space="preserve"> 合成法</w:t>
      </w:r>
      <w:r>
        <w:tab/>
      </w:r>
      <w:r>
        <w:fldChar w:fldCharType="begin"/>
      </w:r>
      <w:r>
        <w:instrText xml:space="preserve"> PAGEREF _Toc163045577 \h </w:instrText>
      </w:r>
      <w:r>
        <w:fldChar w:fldCharType="separate"/>
      </w:r>
      <w:r>
        <w:t>3</w:t>
      </w:r>
      <w:r>
        <w:fldChar w:fldCharType="end"/>
      </w:r>
      <w:r>
        <w:fldChar w:fldCharType="end"/>
      </w:r>
    </w:p>
    <w:p w14:paraId="1A4A459A">
      <w:pPr>
        <w:pStyle w:val="24"/>
        <w:rPr>
          <w:rFonts w:asciiTheme="minorHAnsi" w:hAnsiTheme="minorHAnsi" w:eastAsiaTheme="minorEastAsia" w:cstheme="minorBidi"/>
          <w:szCs w:val="22"/>
        </w:rPr>
      </w:pPr>
      <w:r>
        <w:fldChar w:fldCharType="begin"/>
      </w:r>
      <w:r>
        <w:instrText xml:space="preserve"> HYPERLINK \l "_Toc163045578" </w:instrText>
      </w:r>
      <w:r>
        <w:fldChar w:fldCharType="separate"/>
      </w:r>
      <w:r>
        <w:rPr>
          <w:rStyle w:val="32"/>
          <w14:scene3d>
            <w14:lightRig w14:rig="threePt" w14:dir="t">
              <w14:rot w14:lat="0" w14:lon="0" w14:rev="0"/>
            </w14:lightRig>
          </w14:scene3d>
        </w:rPr>
        <w:t xml:space="preserve">7.3 </w:t>
      </w:r>
      <w:r>
        <w:rPr>
          <w:rStyle w:val="32"/>
        </w:rPr>
        <w:t xml:space="preserve"> 置换法</w:t>
      </w:r>
      <w:r>
        <w:tab/>
      </w:r>
      <w:r>
        <w:fldChar w:fldCharType="begin"/>
      </w:r>
      <w:r>
        <w:instrText xml:space="preserve"> PAGEREF _Toc163045578 \h </w:instrText>
      </w:r>
      <w:r>
        <w:fldChar w:fldCharType="separate"/>
      </w:r>
      <w:r>
        <w:t>4</w:t>
      </w:r>
      <w:r>
        <w:fldChar w:fldCharType="end"/>
      </w:r>
      <w:r>
        <w:fldChar w:fldCharType="end"/>
      </w:r>
    </w:p>
    <w:p w14:paraId="0D8D50DE">
      <w:pPr>
        <w:pStyle w:val="24"/>
        <w:rPr>
          <w:rFonts w:asciiTheme="minorHAnsi" w:hAnsiTheme="minorHAnsi" w:eastAsiaTheme="minorEastAsia" w:cstheme="minorBidi"/>
          <w:szCs w:val="22"/>
        </w:rPr>
      </w:pPr>
      <w:r>
        <w:fldChar w:fldCharType="begin"/>
      </w:r>
      <w:r>
        <w:instrText xml:space="preserve"> HYPERLINK \l "_Toc163045579" </w:instrText>
      </w:r>
      <w:r>
        <w:fldChar w:fldCharType="separate"/>
      </w:r>
      <w:r>
        <w:rPr>
          <w:rStyle w:val="32"/>
          <w14:scene3d>
            <w14:lightRig w14:rig="threePt" w14:dir="t">
              <w14:rot w14:lat="0" w14:lon="0" w14:rev="0"/>
            </w14:lightRig>
          </w14:scene3d>
        </w:rPr>
        <w:t xml:space="preserve">7.4 </w:t>
      </w:r>
      <w:r>
        <w:rPr>
          <w:rStyle w:val="32"/>
        </w:rPr>
        <w:t xml:space="preserve"> 电解法</w:t>
      </w:r>
      <w:r>
        <w:tab/>
      </w:r>
      <w:r>
        <w:fldChar w:fldCharType="begin"/>
      </w:r>
      <w:r>
        <w:instrText xml:space="preserve"> PAGEREF _Toc163045579 \h </w:instrText>
      </w:r>
      <w:r>
        <w:fldChar w:fldCharType="separate"/>
      </w:r>
      <w:r>
        <w:t>4</w:t>
      </w:r>
      <w:r>
        <w:fldChar w:fldCharType="end"/>
      </w:r>
      <w:r>
        <w:fldChar w:fldCharType="end"/>
      </w:r>
    </w:p>
    <w:p w14:paraId="34540E49">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"_Toc163045580" </w:instrText>
      </w:r>
      <w:r>
        <w:fldChar w:fldCharType="separate"/>
      </w:r>
      <w:r>
        <w:rPr>
          <w:rStyle w:val="32"/>
        </w:rPr>
        <w:t>8  环境保护</w:t>
      </w:r>
      <w:r>
        <w:tab/>
      </w:r>
      <w:r>
        <w:fldChar w:fldCharType="begin"/>
      </w:r>
      <w:r>
        <w:instrText xml:space="preserve"> PAGEREF _Toc163045580 \h </w:instrText>
      </w:r>
      <w:r>
        <w:fldChar w:fldCharType="separate"/>
      </w:r>
      <w:r>
        <w:t>4</w:t>
      </w:r>
      <w:r>
        <w:fldChar w:fldCharType="end"/>
      </w:r>
      <w:r>
        <w:fldChar w:fldCharType="end"/>
      </w:r>
    </w:p>
    <w:p w14:paraId="7DEBF49A">
      <w:pPr>
        <w:pStyle w:val="24"/>
        <w:rPr>
          <w:rFonts w:asciiTheme="minorHAnsi" w:hAnsiTheme="minorHAnsi" w:eastAsiaTheme="minorEastAsia" w:cstheme="minorBidi"/>
          <w:szCs w:val="22"/>
        </w:rPr>
      </w:pPr>
      <w:r>
        <w:fldChar w:fldCharType="begin"/>
      </w:r>
      <w:r>
        <w:instrText xml:space="preserve"> HYPERLINK \l "_Toc163045581" </w:instrText>
      </w:r>
      <w:r>
        <w:fldChar w:fldCharType="separate"/>
      </w:r>
      <w:r>
        <w:rPr>
          <w:rStyle w:val="32"/>
          <w14:scene3d>
            <w14:lightRig w14:rig="threePt" w14:dir="t">
              <w14:rot w14:lat="0" w14:lon="0" w14:rev="0"/>
            </w14:lightRig>
          </w14:scene3d>
        </w:rPr>
        <w:t xml:space="preserve">8.1 </w:t>
      </w:r>
      <w:r>
        <w:rPr>
          <w:rStyle w:val="32"/>
        </w:rPr>
        <w:t xml:space="preserve"> 废气</w:t>
      </w:r>
      <w:r>
        <w:tab/>
      </w:r>
      <w:r>
        <w:fldChar w:fldCharType="begin"/>
      </w:r>
      <w:r>
        <w:instrText xml:space="preserve"> PAGEREF _Toc163045581 \h </w:instrText>
      </w:r>
      <w:r>
        <w:fldChar w:fldCharType="separate"/>
      </w:r>
      <w:r>
        <w:t>4</w:t>
      </w:r>
      <w:r>
        <w:fldChar w:fldCharType="end"/>
      </w:r>
      <w:r>
        <w:fldChar w:fldCharType="end"/>
      </w:r>
    </w:p>
    <w:p w14:paraId="0792DD8A">
      <w:pPr>
        <w:pStyle w:val="24"/>
        <w:rPr>
          <w:rFonts w:asciiTheme="minorHAnsi" w:hAnsiTheme="minorHAnsi" w:eastAsiaTheme="minorEastAsia" w:cstheme="minorBidi"/>
          <w:szCs w:val="22"/>
        </w:rPr>
      </w:pPr>
      <w:r>
        <w:fldChar w:fldCharType="begin"/>
      </w:r>
      <w:r>
        <w:instrText xml:space="preserve"> HYPERLINK \l "_Toc163045582" </w:instrText>
      </w:r>
      <w:r>
        <w:fldChar w:fldCharType="separate"/>
      </w:r>
      <w:r>
        <w:rPr>
          <w:rStyle w:val="32"/>
          <w14:scene3d>
            <w14:lightRig w14:rig="threePt" w14:dir="t">
              <w14:rot w14:lat="0" w14:lon="0" w14:rev="0"/>
            </w14:lightRig>
          </w14:scene3d>
        </w:rPr>
        <w:t xml:space="preserve">8.2 </w:t>
      </w:r>
      <w:r>
        <w:rPr>
          <w:rStyle w:val="32"/>
        </w:rPr>
        <w:t xml:space="preserve"> 废水</w:t>
      </w:r>
      <w:r>
        <w:tab/>
      </w:r>
      <w:r>
        <w:fldChar w:fldCharType="begin"/>
      </w:r>
      <w:r>
        <w:instrText xml:space="preserve"> PAGEREF _Toc163045582 \h </w:instrText>
      </w:r>
      <w:r>
        <w:fldChar w:fldCharType="separate"/>
      </w:r>
      <w:r>
        <w:t>4</w:t>
      </w:r>
      <w:r>
        <w:fldChar w:fldCharType="end"/>
      </w:r>
      <w:r>
        <w:fldChar w:fldCharType="end"/>
      </w:r>
    </w:p>
    <w:p w14:paraId="6878D4AE">
      <w:pPr>
        <w:pStyle w:val="24"/>
        <w:rPr>
          <w:rFonts w:asciiTheme="minorHAnsi" w:hAnsiTheme="minorHAnsi" w:eastAsiaTheme="minorEastAsia" w:cstheme="minorBidi"/>
          <w:szCs w:val="22"/>
        </w:rPr>
      </w:pPr>
      <w:r>
        <w:fldChar w:fldCharType="begin"/>
      </w:r>
      <w:r>
        <w:instrText xml:space="preserve"> HYPERLINK \l "_Toc163045583" </w:instrText>
      </w:r>
      <w:r>
        <w:fldChar w:fldCharType="separate"/>
      </w:r>
      <w:r>
        <w:rPr>
          <w:rStyle w:val="32"/>
          <w14:scene3d>
            <w14:lightRig w14:rig="threePt" w14:dir="t">
              <w14:rot w14:lat="0" w14:lon="0" w14:rev="0"/>
            </w14:lightRig>
          </w14:scene3d>
        </w:rPr>
        <w:t xml:space="preserve">8.3 </w:t>
      </w:r>
      <w:r>
        <w:rPr>
          <w:rStyle w:val="32"/>
        </w:rPr>
        <w:t xml:space="preserve"> 固体废物</w:t>
      </w:r>
      <w:r>
        <w:tab/>
      </w:r>
      <w:r>
        <w:fldChar w:fldCharType="begin"/>
      </w:r>
      <w:r>
        <w:instrText xml:space="preserve"> PAGEREF _Toc163045583 \h </w:instrText>
      </w:r>
      <w:r>
        <w:fldChar w:fldCharType="separate"/>
      </w:r>
      <w:r>
        <w:t>4</w:t>
      </w:r>
      <w:r>
        <w:fldChar w:fldCharType="end"/>
      </w:r>
      <w:r>
        <w:fldChar w:fldCharType="end"/>
      </w:r>
    </w:p>
    <w:p w14:paraId="1498B4E9">
      <w:pPr>
        <w:pStyle w:val="24"/>
        <w:rPr>
          <w:rFonts w:asciiTheme="minorHAnsi" w:hAnsiTheme="minorHAnsi" w:eastAsiaTheme="minorEastAsia" w:cstheme="minorBidi"/>
          <w:szCs w:val="22"/>
        </w:rPr>
      </w:pPr>
      <w:r>
        <w:fldChar w:fldCharType="begin"/>
      </w:r>
      <w:r>
        <w:instrText xml:space="preserve"> HYPERLINK \l "_Toc163045584" </w:instrText>
      </w:r>
      <w:r>
        <w:fldChar w:fldCharType="separate"/>
      </w:r>
      <w:r>
        <w:rPr>
          <w:rStyle w:val="32"/>
          <w14:scene3d>
            <w14:lightRig w14:rig="threePt" w14:dir="t">
              <w14:rot w14:lat="0" w14:lon="0" w14:rev="0"/>
            </w14:lightRig>
          </w14:scene3d>
        </w:rPr>
        <w:t xml:space="preserve">8.4 </w:t>
      </w:r>
      <w:r>
        <w:rPr>
          <w:rStyle w:val="32"/>
        </w:rPr>
        <w:t xml:space="preserve"> 噪声</w:t>
      </w:r>
      <w:r>
        <w:tab/>
      </w:r>
      <w:r>
        <w:fldChar w:fldCharType="begin"/>
      </w:r>
      <w:r>
        <w:instrText xml:space="preserve"> PAGEREF _Toc163045584 \h </w:instrText>
      </w:r>
      <w:r>
        <w:fldChar w:fldCharType="separate"/>
      </w:r>
      <w:r>
        <w:t>5</w:t>
      </w:r>
      <w:r>
        <w:fldChar w:fldCharType="end"/>
      </w:r>
      <w:r>
        <w:fldChar w:fldCharType="end"/>
      </w:r>
    </w:p>
    <w:p w14:paraId="1C12AC74">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"_Toc163045585" </w:instrText>
      </w:r>
      <w:r>
        <w:fldChar w:fldCharType="separate"/>
      </w:r>
      <w:r>
        <w:rPr>
          <w:rStyle w:val="32"/>
        </w:rPr>
        <w:t>9  综合利用产物</w:t>
      </w:r>
      <w:r>
        <w:tab/>
      </w:r>
      <w:r>
        <w:fldChar w:fldCharType="begin"/>
      </w:r>
      <w:r>
        <w:instrText xml:space="preserve"> PAGEREF _Toc163045585 \h </w:instrText>
      </w:r>
      <w:r>
        <w:fldChar w:fldCharType="separate"/>
      </w:r>
      <w:r>
        <w:t>5</w:t>
      </w:r>
      <w:r>
        <w:fldChar w:fldCharType="end"/>
      </w:r>
      <w:r>
        <w:fldChar w:fldCharType="end"/>
      </w:r>
    </w:p>
    <w:p w14:paraId="17B1CF47">
      <w:pPr>
        <w:pStyle w:val="24"/>
        <w:rPr>
          <w:rFonts w:asciiTheme="minorHAnsi" w:hAnsiTheme="minorHAnsi" w:eastAsiaTheme="minorEastAsia" w:cstheme="minorBidi"/>
          <w:szCs w:val="22"/>
        </w:rPr>
      </w:pPr>
      <w:r>
        <w:fldChar w:fldCharType="begin"/>
      </w:r>
      <w:r>
        <w:instrText xml:space="preserve"> HYPERLINK \l "_Toc163045586" </w:instrText>
      </w:r>
      <w:r>
        <w:fldChar w:fldCharType="separate"/>
      </w:r>
      <w:r>
        <w:rPr>
          <w:rStyle w:val="32"/>
          <w14:scene3d>
            <w14:lightRig w14:rig="threePt" w14:dir="t">
              <w14:rot w14:lat="0" w14:lon="0" w14:rev="0"/>
            </w14:lightRig>
          </w14:scene3d>
        </w:rPr>
        <w:t xml:space="preserve">9.1 </w:t>
      </w:r>
      <w:r>
        <w:rPr>
          <w:rStyle w:val="32"/>
        </w:rPr>
        <w:t xml:space="preserve"> 一般要求</w:t>
      </w:r>
      <w:r>
        <w:tab/>
      </w:r>
      <w:r>
        <w:fldChar w:fldCharType="begin"/>
      </w:r>
      <w:r>
        <w:instrText xml:space="preserve"> PAGEREF _Toc163045586 \h </w:instrText>
      </w:r>
      <w:r>
        <w:fldChar w:fldCharType="separate"/>
      </w:r>
      <w:r>
        <w:t>5</w:t>
      </w:r>
      <w:r>
        <w:fldChar w:fldCharType="end"/>
      </w:r>
      <w:r>
        <w:fldChar w:fldCharType="end"/>
      </w:r>
    </w:p>
    <w:p w14:paraId="1C943B82">
      <w:pPr>
        <w:pStyle w:val="24"/>
        <w:rPr>
          <w:rFonts w:asciiTheme="minorHAnsi" w:hAnsiTheme="minorHAnsi" w:eastAsiaTheme="minorEastAsia" w:cstheme="minorBidi"/>
          <w:szCs w:val="22"/>
        </w:rPr>
      </w:pPr>
      <w:r>
        <w:fldChar w:fldCharType="begin"/>
      </w:r>
      <w:r>
        <w:instrText xml:space="preserve"> HYPERLINK \l "_Toc163045587" </w:instrText>
      </w:r>
      <w:r>
        <w:fldChar w:fldCharType="separate"/>
      </w:r>
      <w:r>
        <w:rPr>
          <w:rStyle w:val="32"/>
          <w14:scene3d>
            <w14:lightRig w14:rig="threePt" w14:dir="t">
              <w14:rot w14:lat="0" w14:lon="0" w14:rev="0"/>
            </w14:lightRig>
          </w14:scene3d>
        </w:rPr>
        <w:t xml:space="preserve">9.2 </w:t>
      </w:r>
      <w:r>
        <w:rPr>
          <w:rStyle w:val="32"/>
        </w:rPr>
        <w:t xml:space="preserve"> 铜系产物</w:t>
      </w:r>
      <w:r>
        <w:tab/>
      </w:r>
      <w:r>
        <w:fldChar w:fldCharType="begin"/>
      </w:r>
      <w:r>
        <w:instrText xml:space="preserve"> PAGEREF _Toc163045587 \h </w:instrText>
      </w:r>
      <w:r>
        <w:fldChar w:fldCharType="separate"/>
      </w:r>
      <w:r>
        <w:t>5</w:t>
      </w:r>
      <w:r>
        <w:fldChar w:fldCharType="end"/>
      </w:r>
      <w:r>
        <w:fldChar w:fldCharType="end"/>
      </w:r>
    </w:p>
    <w:p w14:paraId="0DA5F4C6">
      <w:pPr>
        <w:pStyle w:val="24"/>
        <w:rPr>
          <w:rFonts w:asciiTheme="minorHAnsi" w:hAnsiTheme="minorHAnsi" w:eastAsiaTheme="minorEastAsia" w:cstheme="minorBidi"/>
          <w:szCs w:val="22"/>
        </w:rPr>
      </w:pPr>
      <w:r>
        <w:fldChar w:fldCharType="begin"/>
      </w:r>
      <w:r>
        <w:instrText xml:space="preserve"> HYPERLINK \l "_Toc163045588" </w:instrText>
      </w:r>
      <w:r>
        <w:fldChar w:fldCharType="separate"/>
      </w:r>
      <w:r>
        <w:rPr>
          <w:rStyle w:val="32"/>
          <w14:scene3d>
            <w14:lightRig w14:rig="threePt" w14:dir="t">
              <w14:rot w14:lat="0" w14:lon="0" w14:rev="0"/>
            </w14:lightRig>
          </w14:scene3d>
        </w:rPr>
        <w:t xml:space="preserve">9.3 </w:t>
      </w:r>
      <w:r>
        <w:rPr>
          <w:rStyle w:val="32"/>
        </w:rPr>
        <w:t xml:space="preserve"> 蒸发盐</w:t>
      </w:r>
      <w:r>
        <w:tab/>
      </w:r>
      <w:r>
        <w:fldChar w:fldCharType="begin"/>
      </w:r>
      <w:r>
        <w:instrText xml:space="preserve"> PAGEREF _Toc163045588 \h </w:instrText>
      </w:r>
      <w:r>
        <w:fldChar w:fldCharType="separate"/>
      </w:r>
      <w:r>
        <w:t>5</w:t>
      </w:r>
      <w:r>
        <w:fldChar w:fldCharType="end"/>
      </w:r>
      <w:r>
        <w:fldChar w:fldCharType="end"/>
      </w:r>
    </w:p>
    <w:p w14:paraId="7EEACC80">
      <w:pPr>
        <w:pStyle w:val="24"/>
        <w:rPr>
          <w:rFonts w:asciiTheme="minorHAnsi" w:hAnsiTheme="minorHAnsi" w:eastAsiaTheme="minorEastAsia" w:cstheme="minorBidi"/>
          <w:szCs w:val="22"/>
        </w:rPr>
      </w:pPr>
      <w:r>
        <w:fldChar w:fldCharType="begin"/>
      </w:r>
      <w:r>
        <w:instrText xml:space="preserve"> HYPERLINK \l "_Toc163045589" </w:instrText>
      </w:r>
      <w:r>
        <w:fldChar w:fldCharType="separate"/>
      </w:r>
      <w:r>
        <w:rPr>
          <w:rStyle w:val="32"/>
          <w14:scene3d>
            <w14:lightRig w14:rig="threePt" w14:dir="t">
              <w14:rot w14:lat="0" w14:lon="0" w14:rev="0"/>
            </w14:lightRig>
          </w14:scene3d>
        </w:rPr>
        <w:t xml:space="preserve">9.4 </w:t>
      </w:r>
      <w:r>
        <w:rPr>
          <w:rStyle w:val="32"/>
        </w:rPr>
        <w:t xml:space="preserve"> 其他产物</w:t>
      </w:r>
      <w:r>
        <w:tab/>
      </w:r>
      <w:r>
        <w:fldChar w:fldCharType="begin"/>
      </w:r>
      <w:r>
        <w:instrText xml:space="preserve"> PAGEREF _Toc163045589 \h </w:instrText>
      </w:r>
      <w:r>
        <w:fldChar w:fldCharType="separate"/>
      </w:r>
      <w:r>
        <w:t>6</w:t>
      </w:r>
      <w:r>
        <w:fldChar w:fldCharType="end"/>
      </w:r>
      <w:r>
        <w:fldChar w:fldCharType="end"/>
      </w:r>
    </w:p>
    <w:p w14:paraId="5CE3BC9C">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"_Toc163045590" </w:instrText>
      </w:r>
      <w:r>
        <w:fldChar w:fldCharType="separate"/>
      </w:r>
      <w:r>
        <w:rPr>
          <w:rStyle w:val="32"/>
        </w:rPr>
        <w:t>10  运行管理</w:t>
      </w:r>
      <w:r>
        <w:tab/>
      </w:r>
      <w:r>
        <w:fldChar w:fldCharType="begin"/>
      </w:r>
      <w:r>
        <w:instrText xml:space="preserve"> PAGEREF _Toc163045590 \h </w:instrText>
      </w:r>
      <w:r>
        <w:fldChar w:fldCharType="separate"/>
      </w:r>
      <w:r>
        <w:t>6</w:t>
      </w:r>
      <w:r>
        <w:fldChar w:fldCharType="end"/>
      </w:r>
      <w:r>
        <w:fldChar w:fldCharType="end"/>
      </w:r>
    </w:p>
    <w:p w14:paraId="737F8493">
      <w:pPr>
        <w:pStyle w:val="24"/>
        <w:rPr>
          <w:rFonts w:asciiTheme="minorHAnsi" w:hAnsiTheme="minorHAnsi" w:eastAsiaTheme="minorEastAsia" w:cstheme="minorBidi"/>
          <w:szCs w:val="22"/>
        </w:rPr>
      </w:pPr>
      <w:r>
        <w:fldChar w:fldCharType="begin"/>
      </w:r>
      <w:r>
        <w:instrText xml:space="preserve"> HYPERLINK \l "_Toc163045591" </w:instrText>
      </w:r>
      <w:r>
        <w:fldChar w:fldCharType="separate"/>
      </w:r>
      <w:r>
        <w:rPr>
          <w:rStyle w:val="32"/>
          <w14:scene3d>
            <w14:lightRig w14:rig="threePt" w14:dir="t">
              <w14:rot w14:lat="0" w14:lon="0" w14:rev="0"/>
            </w14:lightRig>
          </w14:scene3d>
        </w:rPr>
        <w:t xml:space="preserve">10.1 </w:t>
      </w:r>
      <w:r>
        <w:rPr>
          <w:rStyle w:val="32"/>
        </w:rPr>
        <w:t xml:space="preserve"> 一般要求</w:t>
      </w:r>
      <w:r>
        <w:tab/>
      </w:r>
      <w:r>
        <w:fldChar w:fldCharType="begin"/>
      </w:r>
      <w:r>
        <w:instrText xml:space="preserve"> PAGEREF _Toc163045591 \h </w:instrText>
      </w:r>
      <w:r>
        <w:fldChar w:fldCharType="separate"/>
      </w:r>
      <w:r>
        <w:t>6</w:t>
      </w:r>
      <w:r>
        <w:fldChar w:fldCharType="end"/>
      </w:r>
      <w:r>
        <w:fldChar w:fldCharType="end"/>
      </w:r>
    </w:p>
    <w:p w14:paraId="28EB11A2">
      <w:pPr>
        <w:pStyle w:val="24"/>
        <w:rPr>
          <w:rFonts w:asciiTheme="minorHAnsi" w:hAnsiTheme="minorHAnsi" w:eastAsiaTheme="minorEastAsia" w:cstheme="minorBidi"/>
          <w:szCs w:val="22"/>
        </w:rPr>
      </w:pPr>
      <w:r>
        <w:fldChar w:fldCharType="begin"/>
      </w:r>
      <w:r>
        <w:instrText xml:space="preserve"> HYPERLINK \l "_Toc163045592" </w:instrText>
      </w:r>
      <w:r>
        <w:fldChar w:fldCharType="separate"/>
      </w:r>
      <w:r>
        <w:rPr>
          <w:rStyle w:val="32"/>
          <w14:scene3d>
            <w14:lightRig w14:rig="threePt" w14:dir="t">
              <w14:rot w14:lat="0" w14:lon="0" w14:rev="0"/>
            </w14:lightRig>
          </w14:scene3d>
        </w:rPr>
        <w:t xml:space="preserve">10.2 </w:t>
      </w:r>
      <w:r>
        <w:rPr>
          <w:rStyle w:val="32"/>
        </w:rPr>
        <w:t xml:space="preserve"> 监测及评估</w:t>
      </w:r>
      <w:r>
        <w:tab/>
      </w:r>
      <w:r>
        <w:fldChar w:fldCharType="begin"/>
      </w:r>
      <w:r>
        <w:instrText xml:space="preserve"> PAGEREF _Toc163045592 \h </w:instrText>
      </w:r>
      <w:r>
        <w:fldChar w:fldCharType="separate"/>
      </w:r>
      <w:r>
        <w:t>6</w:t>
      </w:r>
      <w:r>
        <w:fldChar w:fldCharType="end"/>
      </w:r>
      <w:r>
        <w:fldChar w:fldCharType="end"/>
      </w:r>
    </w:p>
    <w:p w14:paraId="2AA45AC1">
      <w:pPr>
        <w:pStyle w:val="24"/>
        <w:rPr>
          <w:rFonts w:asciiTheme="minorHAnsi" w:hAnsiTheme="minorHAnsi" w:eastAsiaTheme="minorEastAsia" w:cstheme="minorBidi"/>
          <w:szCs w:val="22"/>
        </w:rPr>
      </w:pPr>
      <w:r>
        <w:fldChar w:fldCharType="begin"/>
      </w:r>
      <w:r>
        <w:instrText xml:space="preserve"> HYPERLINK \l "_Toc163045593" </w:instrText>
      </w:r>
      <w:r>
        <w:fldChar w:fldCharType="separate"/>
      </w:r>
      <w:r>
        <w:rPr>
          <w:rStyle w:val="32"/>
          <w14:scene3d>
            <w14:lightRig w14:rig="threePt" w14:dir="t">
              <w14:rot w14:lat="0" w14:lon="0" w14:rev="0"/>
            </w14:lightRig>
          </w14:scene3d>
        </w:rPr>
        <w:t xml:space="preserve">10.3 </w:t>
      </w:r>
      <w:r>
        <w:rPr>
          <w:rStyle w:val="32"/>
        </w:rPr>
        <w:t xml:space="preserve"> 信息公开</w:t>
      </w:r>
      <w:r>
        <w:tab/>
      </w:r>
      <w:r>
        <w:fldChar w:fldCharType="begin"/>
      </w:r>
      <w:r>
        <w:instrText xml:space="preserve"> PAGEREF _Toc163045593 \h </w:instrText>
      </w:r>
      <w:r>
        <w:fldChar w:fldCharType="separate"/>
      </w:r>
      <w:r>
        <w:t>7</w:t>
      </w:r>
      <w:r>
        <w:fldChar w:fldCharType="end"/>
      </w:r>
      <w:r>
        <w:fldChar w:fldCharType="end"/>
      </w:r>
    </w:p>
    <w:p w14:paraId="4881A1EA">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"_Toc163045594" </w:instrText>
      </w:r>
      <w:r>
        <w:fldChar w:fldCharType="separate"/>
      </w:r>
      <w:r>
        <w:rPr>
          <w:rStyle w:val="32"/>
        </w:rPr>
        <w:t>附录A（资料性）  典型铜系产品合成工艺</w:t>
      </w:r>
      <w:r>
        <w:tab/>
      </w:r>
      <w:r>
        <w:fldChar w:fldCharType="begin"/>
      </w:r>
      <w:r>
        <w:instrText xml:space="preserve"> PAGEREF _Toc163045594 \h </w:instrText>
      </w:r>
      <w:r>
        <w:fldChar w:fldCharType="separate"/>
      </w:r>
      <w:r>
        <w:t>8</w:t>
      </w:r>
      <w:r>
        <w:fldChar w:fldCharType="end"/>
      </w:r>
      <w:r>
        <w:fldChar w:fldCharType="end"/>
      </w:r>
    </w:p>
    <w:p w14:paraId="2605DEF5">
      <w:pPr>
        <w:pStyle w:val="19"/>
        <w:tabs>
          <w:tab w:val="right" w:leader="dot" w:pos="9344"/>
        </w:tabs>
        <w:rPr>
          <w:rFonts w:asciiTheme="minorHAnsi" w:hAnsiTheme="minorHAnsi" w:eastAsiaTheme="minorEastAsia" w:cstheme="minorBidi"/>
          <w:szCs w:val="22"/>
        </w:rPr>
      </w:pPr>
      <w:r>
        <w:fldChar w:fldCharType="begin"/>
      </w:r>
      <w:r>
        <w:instrText xml:space="preserve"> HYPERLINK \l "_Toc163045595" </w:instrText>
      </w:r>
      <w:r>
        <w:fldChar w:fldCharType="separate"/>
      </w:r>
      <w:r>
        <w:rPr>
          <w:rStyle w:val="32"/>
        </w:rPr>
        <w:t>附录B（资料性）  碱式氯化铜指标参数分析方法</w:t>
      </w:r>
      <w:r>
        <w:tab/>
      </w:r>
      <w:r>
        <w:fldChar w:fldCharType="begin"/>
      </w:r>
      <w:r>
        <w:instrText xml:space="preserve"> PAGEREF _Toc163045595 \h </w:instrText>
      </w:r>
      <w:r>
        <w:fldChar w:fldCharType="separate"/>
      </w:r>
      <w:r>
        <w:t>12</w:t>
      </w:r>
      <w:r>
        <w:fldChar w:fldCharType="end"/>
      </w:r>
      <w:r>
        <w:fldChar w:fldCharType="end"/>
      </w:r>
    </w:p>
    <w:p w14:paraId="19803C58">
      <w:pPr>
        <w:pStyle w:val="91"/>
        <w:spacing w:after="468"/>
        <w:sectPr>
          <w:headerReference r:id="rId9" w:type="default"/>
          <w:footerReference r:id="rId11" w:type="default"/>
          <w:headerReference r:id="rId10" w:type="even"/>
          <w:pgSz w:w="11906" w:h="16838"/>
          <w:pgMar w:top="1928" w:right="1134" w:bottom="1134" w:left="1134" w:header="1418" w:footer="1134" w:gutter="284"/>
          <w:pgNumType w:fmt="upperRoman" w:start="1"/>
          <w:cols w:space="425" w:num="1"/>
          <w:formProt w:val="0"/>
          <w:docGrid w:type="lines" w:linePitch="312" w:charSpace="0"/>
        </w:sectPr>
      </w:pPr>
      <w:r>
        <w:fldChar w:fldCharType="end"/>
      </w:r>
    </w:p>
    <w:bookmarkEnd w:id="21"/>
    <w:p w14:paraId="63220744">
      <w:pPr>
        <w:pStyle w:val="89"/>
        <w:spacing w:before="900" w:after="468"/>
      </w:pPr>
      <w:bookmarkStart w:id="22" w:name="_Toc163045568"/>
      <w:bookmarkStart w:id="23" w:name="BookMark2"/>
      <w:r>
        <w:rPr>
          <w:spacing w:val="320"/>
        </w:rPr>
        <w:t>前</w:t>
      </w:r>
      <w:r>
        <w:t>言</w:t>
      </w:r>
      <w:bookmarkEnd w:id="22"/>
    </w:p>
    <w:p w14:paraId="7BBD3D8D">
      <w:pPr>
        <w:pStyle w:val="56"/>
        <w:ind w:firstLine="420"/>
      </w:pPr>
      <w:r>
        <w:rPr>
          <w:rFonts w:hint="eastAsia"/>
        </w:rPr>
        <w:t>本文件按照GB/T 1.1—2020《标准化工作导则  第1部分：标准化文件的结构和起草规则》的规定起草。</w:t>
      </w:r>
    </w:p>
    <w:p w14:paraId="05697190">
      <w:pPr>
        <w:pStyle w:val="56"/>
        <w:ind w:firstLine="420"/>
      </w:pPr>
      <w:r>
        <w:rPr>
          <w:rFonts w:hint="eastAsia"/>
        </w:rPr>
        <w:t>本文件由湖北省生态环境科学研究院（省生态环境工程评估中心）提出。</w:t>
      </w:r>
    </w:p>
    <w:p w14:paraId="0286D0EF">
      <w:pPr>
        <w:pStyle w:val="56"/>
        <w:ind w:firstLine="420"/>
      </w:pPr>
      <w:r>
        <w:rPr>
          <w:rFonts w:hint="eastAsia"/>
        </w:rPr>
        <w:t>本文件由湖北省生态环境厅归口。</w:t>
      </w:r>
    </w:p>
    <w:p w14:paraId="7D86A952">
      <w:pPr>
        <w:pStyle w:val="56"/>
        <w:ind w:firstLine="420"/>
      </w:pPr>
      <w:r>
        <w:rPr>
          <w:rFonts w:hint="eastAsia"/>
        </w:rPr>
        <w:t>本文件起草单位：湖北省生态环境科学研究院（省生态环境工程评估中心）、湖北省固体废物与化学品污染防治中心、仙桃绿怡环保科技有限公司。</w:t>
      </w:r>
    </w:p>
    <w:p w14:paraId="653CA2B8">
      <w:pPr>
        <w:pStyle w:val="56"/>
        <w:ind w:firstLine="420"/>
        <w:rPr>
          <w:rFonts w:hint="eastAsia"/>
          <w:lang w:val="en-US" w:eastAsia="zh-CN"/>
        </w:rPr>
      </w:pPr>
      <w:r>
        <w:rPr>
          <w:rFonts w:hint="eastAsia"/>
        </w:rPr>
        <w:t>本文件主要起草人：陈丽鸣、金海林、朱燕</w:t>
      </w:r>
      <w:r>
        <w:rPr>
          <w:rFonts w:hint="eastAsia"/>
          <w:lang w:val="en-US" w:eastAsia="zh-CN"/>
        </w:rPr>
        <w:t>···</w:t>
      </w:r>
    </w:p>
    <w:p w14:paraId="108C6634">
      <w:pPr>
        <w:pStyle w:val="56"/>
        <w:ind w:firstLine="420"/>
        <w:rPr>
          <w:rFonts w:ascii="Times New Roman"/>
        </w:rPr>
      </w:pPr>
      <w:r>
        <w:rPr>
          <w:rFonts w:ascii="Times New Roman"/>
        </w:rPr>
        <w:t>对本文件的有关修改意见建议请反馈至湖北省生态环境科学研究院，电话：027-878</w:t>
      </w:r>
      <w:r>
        <w:rPr>
          <w:rFonts w:hint="eastAsia" w:ascii="Times New Roman"/>
          <w:lang w:val="en-US" w:eastAsia="zh-CN"/>
        </w:rPr>
        <w:t>87701</w:t>
      </w:r>
      <w:r>
        <w:rPr>
          <w:rFonts w:ascii="Times New Roman"/>
        </w:rPr>
        <w:t>，邮箱：</w:t>
      </w:r>
      <w:r>
        <w:rPr>
          <w:rFonts w:hint="eastAsia" w:ascii="Times New Roman"/>
        </w:rPr>
        <w:t>hky_ghs</w:t>
      </w:r>
      <w:r>
        <w:rPr>
          <w:rFonts w:ascii="Times New Roman"/>
        </w:rPr>
        <w:t>@163.com。</w:t>
      </w:r>
    </w:p>
    <w:p w14:paraId="655AE210">
      <w:pPr>
        <w:pStyle w:val="56"/>
        <w:ind w:firstLine="420"/>
        <w:rPr>
          <w:rFonts w:hint="default"/>
          <w:lang w:val="en-US" w:eastAsia="zh-CN"/>
        </w:rPr>
      </w:pPr>
      <w:bookmarkStart w:id="93" w:name="_GoBack"/>
      <w:bookmarkEnd w:id="93"/>
    </w:p>
    <w:p w14:paraId="22DADFE3">
      <w:pPr>
        <w:pStyle w:val="56"/>
        <w:ind w:firstLine="420"/>
        <w:jc w:val="center"/>
      </w:pPr>
    </w:p>
    <w:p w14:paraId="1004E90F">
      <w:pPr>
        <w:pStyle w:val="56"/>
        <w:tabs>
          <w:tab w:val="center" w:pos="4887"/>
        </w:tabs>
        <w:ind w:firstLine="420"/>
        <w:sectPr>
          <w:pgSz w:w="11906" w:h="16838"/>
          <w:pgMar w:top="1928" w:right="1134" w:bottom="1134" w:left="1134" w:header="1418" w:footer="1134" w:gutter="284"/>
          <w:pgNumType w:fmt="upperRoman"/>
          <w:cols w:space="425" w:num="1"/>
          <w:formProt w:val="0"/>
          <w:docGrid w:type="lines" w:linePitch="312" w:charSpace="0"/>
        </w:sectPr>
      </w:pPr>
      <w:r>
        <w:tab/>
      </w:r>
    </w:p>
    <w:bookmarkEnd w:id="23"/>
    <w:p w14:paraId="7FEDC812">
      <w:pPr>
        <w:spacing w:line="20" w:lineRule="exact"/>
        <w:jc w:val="center"/>
        <w:rPr>
          <w:rFonts w:ascii="黑体" w:hAnsi="黑体" w:eastAsia="黑体"/>
          <w:sz w:val="32"/>
          <w:szCs w:val="32"/>
        </w:rPr>
      </w:pPr>
      <w:bookmarkStart w:id="24" w:name="BookMark4"/>
    </w:p>
    <w:p w14:paraId="50F95D0C">
      <w:pPr>
        <w:spacing w:line="20" w:lineRule="exact"/>
        <w:jc w:val="center"/>
        <w:rPr>
          <w:rFonts w:ascii="黑体" w:hAnsi="黑体" w:eastAsia="黑体"/>
          <w:sz w:val="32"/>
          <w:szCs w:val="32"/>
        </w:rPr>
      </w:pPr>
    </w:p>
    <w:sdt>
      <w:sdtPr>
        <w:tag w:val="NEW_STAND_NAME"/>
        <w:id w:val="595910757"/>
        <w:lock w:val="sdtLocked"/>
        <w:placeholder>
          <w:docPart w:val="5554ABC9D6514497875594CB2B2119C3"/>
        </w:placeholder>
      </w:sdtPr>
      <w:sdtContent>
        <w:p w14:paraId="2A8248E2">
          <w:pPr>
            <w:pStyle w:val="177"/>
            <w:spacing w:before="3" w:beforeLines="1" w:after="686" w:afterLines="220"/>
          </w:pPr>
          <w:bookmarkStart w:id="25" w:name="NEW_STAND_NAME"/>
          <w:r>
            <w:rPr>
              <w:rFonts w:hint="eastAsia"/>
            </w:rPr>
            <w:t>危险废物利用处置污染控制技术规范 第3部分:含铜蚀刻废液</w:t>
          </w:r>
        </w:p>
      </w:sdtContent>
    </w:sdt>
    <w:bookmarkEnd w:id="25"/>
    <w:p w14:paraId="78669BFC">
      <w:pPr>
        <w:pStyle w:val="104"/>
        <w:spacing w:before="312" w:after="312"/>
      </w:pPr>
      <w:bookmarkStart w:id="26" w:name="_Toc26648465"/>
      <w:bookmarkStart w:id="27" w:name="_Toc97191423"/>
      <w:bookmarkStart w:id="28" w:name="_Toc24884218"/>
      <w:bookmarkStart w:id="29" w:name="_Toc26986530"/>
      <w:bookmarkStart w:id="30" w:name="_Toc24884211"/>
      <w:bookmarkStart w:id="31" w:name="_Toc17233325"/>
      <w:bookmarkStart w:id="32" w:name="_Toc17233333"/>
      <w:bookmarkStart w:id="33" w:name="_Toc26986771"/>
      <w:bookmarkStart w:id="34" w:name="_Toc163045569"/>
      <w:bookmarkStart w:id="35" w:name="_Toc26718930"/>
      <w:r>
        <w:rPr>
          <w:rFonts w:hint="eastAsia"/>
        </w:rPr>
        <w:t>范围</w:t>
      </w:r>
      <w:bookmarkEnd w:id="26"/>
      <w:bookmarkEnd w:id="27"/>
      <w:bookmarkEnd w:id="28"/>
      <w:bookmarkEnd w:id="29"/>
      <w:bookmarkEnd w:id="30"/>
      <w:bookmarkEnd w:id="31"/>
      <w:bookmarkEnd w:id="32"/>
      <w:bookmarkEnd w:id="33"/>
      <w:bookmarkEnd w:id="34"/>
      <w:bookmarkEnd w:id="35"/>
    </w:p>
    <w:p w14:paraId="718289BF">
      <w:pPr>
        <w:pStyle w:val="56"/>
        <w:ind w:firstLine="420"/>
      </w:pPr>
      <w:bookmarkStart w:id="36" w:name="_Toc17233334"/>
      <w:bookmarkStart w:id="37" w:name="_Toc24884212"/>
      <w:bookmarkStart w:id="38" w:name="_Toc26648466"/>
      <w:bookmarkStart w:id="39" w:name="_Toc17233326"/>
      <w:bookmarkStart w:id="40" w:name="_Toc24884219"/>
      <w:r>
        <w:t>本文件规定了含铜蚀刻废液综合利用污染控制的总体要求、入厂分析、收集和贮存、工艺过程、环境保护</w:t>
      </w:r>
      <w:r>
        <w:rPr>
          <w:rFonts w:hint="eastAsia"/>
        </w:rPr>
        <w:t>﹑综合利用产物控制的技术要求以及运行管理要求。</w:t>
      </w:r>
    </w:p>
    <w:p w14:paraId="7E1C1902">
      <w:pPr>
        <w:pStyle w:val="56"/>
        <w:ind w:firstLine="420"/>
        <w:rPr>
          <w:rFonts w:hint="eastAsia"/>
        </w:rPr>
      </w:pPr>
      <w:r>
        <w:t>本文件适用于含铜蚀刻废液综合利用企业全过程管理以及与含铜蚀刻废液综合利用有关的建设项目环境影响评价、环境保护设施设计，竣工环境保护验收</w:t>
      </w:r>
      <w:r>
        <w:rPr>
          <w:rFonts w:hint="eastAsia"/>
        </w:rPr>
        <w:t>﹑排污许可管理、清洁生产审核等。</w:t>
      </w:r>
      <w:r>
        <w:t>同时，在遵循国家相关法规政策以及不与其他地区类似规范冲突的前提下，可作为跨区域含铜蚀刻废液综合利用项目或相关技术交流的参考依据。</w:t>
      </w:r>
    </w:p>
    <w:p w14:paraId="3FC04221">
      <w:pPr>
        <w:pStyle w:val="104"/>
        <w:spacing w:before="312" w:after="312"/>
      </w:pPr>
      <w:bookmarkStart w:id="41" w:name="_Toc26986772"/>
      <w:bookmarkStart w:id="42" w:name="_Toc97191424"/>
      <w:bookmarkStart w:id="43" w:name="_Toc26986531"/>
      <w:bookmarkStart w:id="44" w:name="_Toc163045570"/>
      <w:bookmarkStart w:id="45" w:name="_Toc26718931"/>
      <w:r>
        <w:rPr>
          <w:rFonts w:hint="eastAsia"/>
        </w:rPr>
        <w:t>规范性引用文件</w:t>
      </w:r>
      <w:bookmarkEnd w:id="36"/>
      <w:bookmarkEnd w:id="37"/>
      <w:bookmarkEnd w:id="38"/>
      <w:bookmarkEnd w:id="39"/>
      <w:bookmarkEnd w:id="40"/>
      <w:bookmarkEnd w:id="41"/>
      <w:bookmarkEnd w:id="42"/>
      <w:bookmarkEnd w:id="43"/>
      <w:bookmarkEnd w:id="44"/>
      <w:bookmarkEnd w:id="45"/>
    </w:p>
    <w:sdt>
      <w:sdtPr>
        <w:rPr>
          <w:rFonts w:hint="eastAsia"/>
        </w:rPr>
        <w:id w:val="715848253"/>
        <w:placeholder>
          <w:docPart w:val="807942547EDF48DBA4B194E1ED0D173F"/>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rPr>
          <w:rFonts w:hint="eastAsia"/>
        </w:rPr>
      </w:sdtEndPr>
      <w:sdtContent>
        <w:p w14:paraId="4C1AF39C">
          <w:pPr>
            <w:pStyle w:val="56"/>
            <w:ind w:firstLine="420"/>
          </w:pPr>
          <w:r>
            <w:rPr>
              <w:rFonts w:hint="eastAsia" w:ascii="宋体" w:hAnsi="Times New Roman" w:eastAsia="宋体" w:cs="Times New Roman"/>
              <w:sz w:val="21"/>
              <w:lang w:val="en-US" w:eastAsia="zh-CN" w:bidi="ar-S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785A4EF6">
      <w:pPr>
        <w:pStyle w:val="56"/>
        <w:ind w:firstLine="420"/>
      </w:pPr>
      <w:r>
        <w:t>GB/T 4482 水处理剂 氯化铁</w:t>
      </w:r>
    </w:p>
    <w:p w14:paraId="3283066D">
      <w:pPr>
        <w:pStyle w:val="56"/>
        <w:ind w:firstLine="420"/>
      </w:pPr>
      <w:r>
        <w:t>GB 5085(所有部分) 危险废物鉴别标准</w:t>
      </w:r>
    </w:p>
    <w:p w14:paraId="614A2EDD">
      <w:pPr>
        <w:pStyle w:val="56"/>
        <w:ind w:firstLine="420"/>
      </w:pPr>
      <w:r>
        <w:t>GB 8978 污水综合排放标准</w:t>
      </w:r>
    </w:p>
    <w:p w14:paraId="38149762">
      <w:pPr>
        <w:pStyle w:val="56"/>
        <w:ind w:firstLine="420"/>
      </w:pPr>
      <w:r>
        <w:t>GB 12348 工业企业厂界环境噪声排放标准</w:t>
      </w:r>
    </w:p>
    <w:p w14:paraId="30E36747">
      <w:pPr>
        <w:pStyle w:val="56"/>
        <w:ind w:firstLine="420"/>
      </w:pPr>
      <w:r>
        <w:t>GB 14554 恶臭污染物排放标准</w:t>
      </w:r>
    </w:p>
    <w:p w14:paraId="122D28A0">
      <w:pPr>
        <w:pStyle w:val="56"/>
        <w:ind w:firstLine="420"/>
      </w:pPr>
      <w:r>
        <w:t>GB 18597 危险废物贮存污染控制标准</w:t>
      </w:r>
    </w:p>
    <w:p w14:paraId="381064CB">
      <w:pPr>
        <w:pStyle w:val="56"/>
        <w:ind w:firstLine="420"/>
      </w:pPr>
      <w:r>
        <w:t>GB/T22627</w:t>
      </w:r>
      <w:r>
        <w:rPr>
          <w:rFonts w:hint="eastAsia"/>
          <w:lang w:val="en-US" w:eastAsia="zh-CN"/>
        </w:rPr>
        <w:t xml:space="preserve"> </w:t>
      </w:r>
      <w:r>
        <w:t>水处理剂聚氯化铝</w:t>
      </w:r>
    </w:p>
    <w:p w14:paraId="253413D4">
      <w:pPr>
        <w:pStyle w:val="56"/>
        <w:ind w:firstLine="420"/>
      </w:pPr>
      <w:r>
        <w:t>GB/T 31528</w:t>
      </w:r>
      <w:r>
        <w:rPr>
          <w:rFonts w:hint="eastAsia"/>
          <w:lang w:val="en-US" w:eastAsia="zh-CN"/>
        </w:rPr>
        <w:t>-</w:t>
      </w:r>
      <w:r>
        <w:t>2015 含铜蚀刻废液处理处置技术规范</w:t>
      </w:r>
    </w:p>
    <w:p w14:paraId="67A46796">
      <w:pPr>
        <w:pStyle w:val="56"/>
        <w:ind w:firstLine="420"/>
      </w:pPr>
      <w:r>
        <w:t>GB 31573 无机化学工业污染物排放标准</w:t>
      </w:r>
    </w:p>
    <w:p w14:paraId="7BCAEB44">
      <w:pPr>
        <w:pStyle w:val="56"/>
        <w:ind w:firstLine="420"/>
      </w:pPr>
      <w:r>
        <w:t>GB 34330 固体废物鉴别标准―通则</w:t>
      </w:r>
    </w:p>
    <w:p w14:paraId="472BCFAB">
      <w:pPr>
        <w:pStyle w:val="56"/>
        <w:ind w:firstLine="420"/>
      </w:pPr>
      <w:r>
        <w:t>HG/T4538 水处理剂氯化亚铁</w:t>
      </w:r>
    </w:p>
    <w:p w14:paraId="0CBE047B">
      <w:pPr>
        <w:pStyle w:val="56"/>
        <w:ind w:firstLine="420"/>
      </w:pPr>
      <w:r>
        <w:t>HG/T 5018 含铜蚀刻废液主要成分和微量金属元素分析方法</w:t>
      </w:r>
    </w:p>
    <w:p w14:paraId="7EAFE3E3">
      <w:pPr>
        <w:pStyle w:val="56"/>
        <w:ind w:firstLine="420"/>
      </w:pPr>
      <w:r>
        <w:t>HJ 298 危险废物鉴别技术规范</w:t>
      </w:r>
    </w:p>
    <w:p w14:paraId="0D4193B0">
      <w:pPr>
        <w:pStyle w:val="56"/>
        <w:ind w:firstLine="420"/>
      </w:pPr>
      <w:r>
        <w:t>HJ 702 固体废物﹒汞、砷、硒、铋﹑锑的测定</w:t>
      </w:r>
      <w:r>
        <w:rPr>
          <w:rFonts w:hint="eastAsia"/>
        </w:rPr>
        <w:t xml:space="preserve"> </w:t>
      </w:r>
      <w:r>
        <w:t>微波消解原子荧光法</w:t>
      </w:r>
    </w:p>
    <w:p w14:paraId="68713BD1">
      <w:pPr>
        <w:pStyle w:val="56"/>
        <w:ind w:firstLine="420"/>
      </w:pPr>
      <w:r>
        <w:t>HJ 749 固体废物总铬的测定火焰原子吸收分光光度法</w:t>
      </w:r>
    </w:p>
    <w:p w14:paraId="623CB710">
      <w:pPr>
        <w:pStyle w:val="56"/>
        <w:ind w:firstLine="420"/>
      </w:pPr>
      <w:r>
        <w:t>HJ 750 固体废物总铬的测定石墨炉原子吸收分光光度法</w:t>
      </w:r>
    </w:p>
    <w:p w14:paraId="630DB83D">
      <w:pPr>
        <w:pStyle w:val="56"/>
        <w:ind w:firstLine="420"/>
      </w:pPr>
      <w:r>
        <w:t>HJ 751 固体废物镍和铜的测定火焰原子吸收分光光度法</w:t>
      </w:r>
    </w:p>
    <w:p w14:paraId="09E4B331">
      <w:pPr>
        <w:pStyle w:val="56"/>
        <w:ind w:firstLine="420"/>
      </w:pPr>
      <w:r>
        <w:t>HJ 752 固体废物﹑钺﹑镍﹑铜和钼的测定</w:t>
      </w:r>
      <w:r>
        <w:rPr>
          <w:rFonts w:hint="eastAsia"/>
        </w:rPr>
        <w:t xml:space="preserve"> </w:t>
      </w:r>
      <w:r>
        <w:t>石墨炉原子吸收分光光度法</w:t>
      </w:r>
    </w:p>
    <w:p w14:paraId="4B11DCDE">
      <w:pPr>
        <w:pStyle w:val="56"/>
        <w:ind w:firstLine="420"/>
      </w:pPr>
      <w:r>
        <w:t>HJ 766</w:t>
      </w:r>
      <w:r>
        <w:rPr>
          <w:rFonts w:hint="eastAsia"/>
          <w:lang w:val="en-US" w:eastAsia="zh-CN"/>
        </w:rPr>
        <w:t xml:space="preserve"> </w:t>
      </w:r>
      <w:r>
        <w:t>固体废物金属元素的测定―电感耦合等离子体质谱法</w:t>
      </w:r>
    </w:p>
    <w:p w14:paraId="72B9DF86">
      <w:pPr>
        <w:pStyle w:val="56"/>
        <w:ind w:firstLine="420"/>
      </w:pPr>
      <w:r>
        <w:t>HJ 781 固体废物22种金属元素的测定―电感耦合等离子体发射光谱法</w:t>
      </w:r>
    </w:p>
    <w:p w14:paraId="09D27E8C">
      <w:pPr>
        <w:pStyle w:val="56"/>
        <w:ind w:firstLine="420"/>
      </w:pPr>
      <w:r>
        <w:t>HJ 786 固体废物铅﹑锌和镉的测定</w:t>
      </w:r>
      <w:r>
        <w:rPr>
          <w:rFonts w:hint="eastAsia"/>
        </w:rPr>
        <w:t xml:space="preserve"> </w:t>
      </w:r>
      <w:r>
        <w:t>火焰原子吸收分光光度法</w:t>
      </w:r>
    </w:p>
    <w:p w14:paraId="2E98B426">
      <w:pPr>
        <w:pStyle w:val="56"/>
        <w:ind w:firstLine="420"/>
      </w:pPr>
      <w:r>
        <w:t>HJ 787 固体废物铅和镉的测定</w:t>
      </w:r>
      <w:r>
        <w:rPr>
          <w:rFonts w:hint="eastAsia"/>
        </w:rPr>
        <w:t xml:space="preserve"> </w:t>
      </w:r>
      <w:r>
        <w:t>石墨炉原子吸收分光光度法</w:t>
      </w:r>
    </w:p>
    <w:p w14:paraId="39BB6F59">
      <w:pPr>
        <w:pStyle w:val="56"/>
        <w:ind w:firstLine="420"/>
      </w:pPr>
      <w:r>
        <w:t>HJ 819 排污单位自行监测技术指南总则</w:t>
      </w:r>
    </w:p>
    <w:p w14:paraId="12921391">
      <w:pPr>
        <w:pStyle w:val="56"/>
        <w:ind w:firstLine="420"/>
      </w:pPr>
      <w:r>
        <w:t>HJ 1091 固体废物再生利用污染防治技术导则</w:t>
      </w:r>
    </w:p>
    <w:p w14:paraId="2FE4B43A">
      <w:pPr>
        <w:pStyle w:val="56"/>
        <w:ind w:firstLine="420"/>
      </w:pPr>
      <w:r>
        <w:t>HJ 1200 排污许可证申请与核发技术规范―工业固体废物(试行)</w:t>
      </w:r>
    </w:p>
    <w:p w14:paraId="41165993">
      <w:pPr>
        <w:pStyle w:val="56"/>
        <w:ind w:firstLine="420"/>
      </w:pPr>
      <w:r>
        <w:t>HJ 2025 危险废物收集﹑贮存、运输技术规范</w:t>
      </w:r>
    </w:p>
    <w:p w14:paraId="0E1C452C">
      <w:pPr>
        <w:pStyle w:val="56"/>
        <w:ind w:firstLine="420"/>
        <w:rPr>
          <w:rFonts w:hint="eastAsia" w:eastAsia="宋体"/>
          <w:lang w:eastAsia="zh-CN"/>
        </w:rPr>
      </w:pPr>
      <w:r>
        <w:rPr>
          <w:highlight w:val="yellow"/>
        </w:rPr>
        <w:t>T/GDAEPI 31</w:t>
      </w:r>
      <w:r>
        <w:rPr>
          <w:rFonts w:hint="eastAsia"/>
          <w:highlight w:val="yellow"/>
          <w:lang w:val="en-US" w:eastAsia="zh-CN"/>
        </w:rPr>
        <w:t xml:space="preserve">-2024 </w:t>
      </w:r>
      <w:r>
        <w:rPr>
          <w:highlight w:val="yellow"/>
        </w:rPr>
        <w:t>印制电路板企业含铜蚀刻废液在线综合利用规范</w:t>
      </w:r>
      <w:r>
        <w:rPr>
          <w:rFonts w:hint="eastAsia"/>
          <w:lang w:val="en-US" w:eastAsia="zh-CN"/>
        </w:rPr>
        <w:t xml:space="preserve"> </w:t>
      </w:r>
    </w:p>
    <w:p w14:paraId="313EBEBE">
      <w:pPr>
        <w:pStyle w:val="104"/>
        <w:spacing w:before="312" w:after="312"/>
      </w:pPr>
      <w:bookmarkStart w:id="46" w:name="_Toc97191425"/>
      <w:bookmarkStart w:id="47" w:name="_Toc163045571"/>
      <w:r>
        <w:rPr>
          <w:rFonts w:hint="eastAsia"/>
          <w:szCs w:val="21"/>
        </w:rPr>
        <w:t>术语和定义</w:t>
      </w:r>
      <w:bookmarkEnd w:id="46"/>
      <w:bookmarkEnd w:id="47"/>
    </w:p>
    <w:sdt>
      <w:sdtPr>
        <w:id w:val="-1909835108"/>
        <w:placeholder>
          <w:docPart w:val="A433521205084680A3F9926E235DF59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3122EFB7">
          <w:pPr>
            <w:pStyle w:val="56"/>
            <w:ind w:firstLine="420"/>
          </w:pPr>
          <w:bookmarkStart w:id="48" w:name="_Toc26986532"/>
          <w:bookmarkEnd w:id="48"/>
          <w:r>
            <w:rPr>
              <w:rFonts w:ascii="宋体" w:hAnsi="Times New Roman" w:eastAsia="宋体" w:cs="Times New Roman"/>
              <w:sz w:val="21"/>
              <w:lang w:val="en-US" w:eastAsia="zh-CN" w:bidi="ar-SA"/>
            </w:rPr>
            <w:t>下列术语和定义适用于本文件。</w:t>
          </w:r>
        </w:p>
      </w:sdtContent>
    </w:sdt>
    <w:p w14:paraId="634B145A">
      <w:pPr>
        <w:pStyle w:val="223"/>
        <w:ind w:left="420" w:hanging="420" w:hangingChars="200"/>
        <w:rPr>
          <w:rFonts w:ascii="黑体" w:hAnsi="黑体" w:eastAsia="黑体"/>
        </w:rPr>
      </w:pPr>
      <w:r>
        <w:rPr>
          <w:rFonts w:ascii="黑体" w:hAnsi="黑体" w:eastAsia="黑体"/>
        </w:rPr>
        <w:t>含铜蚀刻废液 spent coppery etchant</w:t>
      </w:r>
    </w:p>
    <w:p w14:paraId="209E8896">
      <w:pPr>
        <w:pStyle w:val="56"/>
        <w:ind w:firstLine="420"/>
      </w:pPr>
      <w:r>
        <w:t>印刷电路板(PCB)铜蚀刻线上产生的蚀刻废液。</w:t>
      </w:r>
    </w:p>
    <w:p w14:paraId="1275954B">
      <w:pPr>
        <w:pStyle w:val="56"/>
        <w:ind w:firstLine="360"/>
        <w:rPr>
          <w:sz w:val="18"/>
          <w:szCs w:val="18"/>
        </w:rPr>
      </w:pPr>
      <w:r>
        <w:rPr>
          <w:sz w:val="18"/>
          <w:szCs w:val="18"/>
        </w:rPr>
        <w:t>注：常见的含铜蚀刻废液有酸性含铜蚀刻废液、碱性含铜蚀刻废液和含铜三氯化铁蚀刻废液等。</w:t>
      </w:r>
    </w:p>
    <w:p w14:paraId="0ED1900E">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酸性含铜蚀刻废液 spent acidic coppery etchant</w:t>
      </w:r>
    </w:p>
    <w:p w14:paraId="2FCF6818">
      <w:pPr>
        <w:pStyle w:val="56"/>
        <w:ind w:firstLine="420"/>
      </w:pPr>
      <w:r>
        <w:t>用主要成分为氯化铜、盐酸、氯化钠、氯酸盐类氧化剂或双氧水的酸性蚀刻液对电子元件制造行业覆铜板和镀铜层进行蚀刻后产生的蚀刻废液。</w:t>
      </w:r>
    </w:p>
    <w:p w14:paraId="7D008C40">
      <w:pPr>
        <w:pStyle w:val="56"/>
        <w:ind w:firstLine="360"/>
        <w:rPr>
          <w:sz w:val="18"/>
          <w:szCs w:val="18"/>
        </w:rPr>
      </w:pPr>
      <w:r>
        <w:rPr>
          <w:sz w:val="18"/>
          <w:szCs w:val="18"/>
        </w:rPr>
        <w:t>注：</w:t>
      </w:r>
      <w:r>
        <w:rPr>
          <w:rFonts w:hint="eastAsia"/>
          <w:sz w:val="18"/>
          <w:szCs w:val="18"/>
        </w:rPr>
        <w:t>酸</w:t>
      </w:r>
      <w:r>
        <w:rPr>
          <w:sz w:val="18"/>
          <w:szCs w:val="18"/>
        </w:rPr>
        <w:t>性含铜蚀刻废液以Cu</w:t>
      </w:r>
      <w:r>
        <w:rPr>
          <w:sz w:val="18"/>
          <w:szCs w:val="18"/>
          <w:vertAlign w:val="superscript"/>
        </w:rPr>
        <w:t>2+</w:t>
      </w:r>
      <w:r>
        <w:rPr>
          <w:sz w:val="18"/>
          <w:szCs w:val="18"/>
        </w:rPr>
        <w:t>，H</w:t>
      </w:r>
      <w:r>
        <w:rPr>
          <w:sz w:val="18"/>
          <w:szCs w:val="18"/>
          <w:vertAlign w:val="superscript"/>
        </w:rPr>
        <w:t>+</w:t>
      </w:r>
      <w:r>
        <w:rPr>
          <w:sz w:val="18"/>
          <w:szCs w:val="18"/>
        </w:rPr>
        <w:t>，CuC</w:t>
      </w:r>
      <w:r>
        <w:rPr>
          <w:rFonts w:hint="eastAsia"/>
          <w:sz w:val="18"/>
          <w:szCs w:val="18"/>
        </w:rPr>
        <w:t>l</w:t>
      </w:r>
      <w:r>
        <w:rPr>
          <w:sz w:val="18"/>
          <w:szCs w:val="18"/>
          <w:vertAlign w:val="subscript"/>
        </w:rPr>
        <w:t>4</w:t>
      </w:r>
      <w:r>
        <w:rPr>
          <w:sz w:val="18"/>
          <w:szCs w:val="18"/>
          <w:vertAlign w:val="superscript"/>
        </w:rPr>
        <w:t>2-</w:t>
      </w:r>
      <w:r>
        <w:rPr>
          <w:sz w:val="18"/>
          <w:szCs w:val="18"/>
        </w:rPr>
        <w:t>，Cl</w:t>
      </w:r>
      <w:r>
        <w:rPr>
          <w:sz w:val="18"/>
          <w:szCs w:val="18"/>
          <w:vertAlign w:val="superscript"/>
        </w:rPr>
        <w:t>-</w:t>
      </w:r>
      <w:r>
        <w:rPr>
          <w:sz w:val="18"/>
          <w:szCs w:val="18"/>
        </w:rPr>
        <w:t>等为主要成分。</w:t>
      </w:r>
    </w:p>
    <w:p w14:paraId="26425644">
      <w:pPr>
        <w:pStyle w:val="223"/>
        <w:ind w:left="420" w:hanging="420" w:hangingChars="200"/>
        <w:rPr>
          <w:rFonts w:ascii="黑体" w:hAnsi="黑体" w:eastAsia="黑体"/>
        </w:rPr>
      </w:pPr>
      <w:r>
        <w:rPr>
          <w:rFonts w:ascii="黑体" w:hAnsi="黑体" w:eastAsia="黑体"/>
        </w:rPr>
        <w:br w:type="textWrapping"/>
      </w:r>
      <w:r>
        <w:rPr>
          <w:rFonts w:hint="eastAsia" w:ascii="黑体" w:hAnsi="黑体" w:eastAsia="黑体"/>
        </w:rPr>
        <w:t>碱</w:t>
      </w:r>
      <w:r>
        <w:rPr>
          <w:rFonts w:ascii="黑体" w:hAnsi="黑体" w:eastAsia="黑体"/>
        </w:rPr>
        <w:t>性含铜蚀刻废液 spent alkaline coppery etchant</w:t>
      </w:r>
    </w:p>
    <w:p w14:paraId="2DAD5DE3">
      <w:pPr>
        <w:pStyle w:val="56"/>
        <w:ind w:firstLine="420"/>
      </w:pPr>
      <w:r>
        <w:t>用主要成分为</w:t>
      </w:r>
      <w:r>
        <w:rPr>
          <w:rFonts w:hint="eastAsia"/>
        </w:rPr>
        <w:t>氨水、氯化铵</w:t>
      </w:r>
      <w:r>
        <w:t>的</w:t>
      </w:r>
      <w:r>
        <w:rPr>
          <w:rFonts w:hint="eastAsia"/>
        </w:rPr>
        <w:t>碱</w:t>
      </w:r>
      <w:r>
        <w:t>性蚀刻液对电子元件制造行业覆铜板和镀铜层进行蚀刻后产生的蚀刻废液。</w:t>
      </w:r>
    </w:p>
    <w:p w14:paraId="34D35496">
      <w:pPr>
        <w:pStyle w:val="56"/>
        <w:ind w:firstLine="360"/>
        <w:rPr>
          <w:sz w:val="18"/>
          <w:szCs w:val="18"/>
        </w:rPr>
      </w:pPr>
      <w:r>
        <w:rPr>
          <w:sz w:val="18"/>
          <w:szCs w:val="18"/>
        </w:rPr>
        <w:t>注：碱性含铜蚀刻废液以Cu</w:t>
      </w:r>
      <w:r>
        <w:rPr>
          <w:sz w:val="18"/>
          <w:szCs w:val="18"/>
          <w:vertAlign w:val="superscript"/>
        </w:rPr>
        <w:t>2+</w:t>
      </w:r>
      <w:r>
        <w:rPr>
          <w:sz w:val="18"/>
          <w:szCs w:val="18"/>
        </w:rPr>
        <w:t>，NH</w:t>
      </w:r>
      <w:r>
        <w:rPr>
          <w:sz w:val="18"/>
          <w:szCs w:val="18"/>
          <w:vertAlign w:val="superscript"/>
        </w:rPr>
        <w:t>4+</w:t>
      </w:r>
      <w:r>
        <w:rPr>
          <w:sz w:val="18"/>
          <w:szCs w:val="18"/>
        </w:rPr>
        <w:t>，Cu(NH</w:t>
      </w:r>
      <w:r>
        <w:rPr>
          <w:sz w:val="18"/>
          <w:szCs w:val="18"/>
          <w:vertAlign w:val="subscript"/>
        </w:rPr>
        <w:t>3</w:t>
      </w:r>
      <w:r>
        <w:rPr>
          <w:sz w:val="18"/>
          <w:szCs w:val="18"/>
        </w:rPr>
        <w:t>)</w:t>
      </w:r>
      <w:r>
        <w:rPr>
          <w:sz w:val="18"/>
          <w:szCs w:val="18"/>
          <w:vertAlign w:val="superscript"/>
        </w:rPr>
        <w:t>2+</w:t>
      </w:r>
      <w:r>
        <w:rPr>
          <w:sz w:val="18"/>
          <w:szCs w:val="18"/>
        </w:rPr>
        <w:t>，NH</w:t>
      </w:r>
      <w:r>
        <w:rPr>
          <w:sz w:val="18"/>
          <w:szCs w:val="18"/>
          <w:vertAlign w:val="subscript"/>
        </w:rPr>
        <w:t>3</w:t>
      </w:r>
      <w:r>
        <w:rPr>
          <w:sz w:val="18"/>
          <w:szCs w:val="18"/>
        </w:rPr>
        <w:t>，Cl</w:t>
      </w:r>
      <w:r>
        <w:rPr>
          <w:sz w:val="18"/>
          <w:szCs w:val="18"/>
          <w:vertAlign w:val="superscript"/>
        </w:rPr>
        <w:t>-</w:t>
      </w:r>
      <w:r>
        <w:rPr>
          <w:sz w:val="18"/>
          <w:szCs w:val="18"/>
        </w:rPr>
        <w:t>等为主要成分。</w:t>
      </w:r>
    </w:p>
    <w:p w14:paraId="5B48E34C">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含铜三氯化铁蚀刻废液 copper-containing spent ferric chloride etchant</w:t>
      </w:r>
    </w:p>
    <w:p w14:paraId="2ED650AE">
      <w:pPr>
        <w:pStyle w:val="56"/>
        <w:ind w:firstLine="420"/>
      </w:pPr>
      <w:r>
        <w:t>用主要成分为盐酸、三氯化铁的蚀刻液对电子元件制造行业覆铜板和镀铜层进行蚀刻后产生的蚀刻废液。</w:t>
      </w:r>
    </w:p>
    <w:p w14:paraId="2D00A2E8">
      <w:pPr>
        <w:pStyle w:val="56"/>
        <w:ind w:firstLine="360"/>
        <w:rPr>
          <w:sz w:val="18"/>
          <w:szCs w:val="18"/>
        </w:rPr>
      </w:pPr>
      <w:r>
        <w:rPr>
          <w:sz w:val="18"/>
          <w:szCs w:val="18"/>
        </w:rPr>
        <w:t>注：含铜三氯化铁蚀刻废液以Fe</w:t>
      </w:r>
      <w:r>
        <w:rPr>
          <w:sz w:val="18"/>
          <w:szCs w:val="18"/>
          <w:vertAlign w:val="superscript"/>
        </w:rPr>
        <w:t>2+</w:t>
      </w:r>
      <w:r>
        <w:rPr>
          <w:sz w:val="18"/>
          <w:szCs w:val="18"/>
        </w:rPr>
        <w:t>，Cu</w:t>
      </w:r>
      <w:r>
        <w:rPr>
          <w:sz w:val="18"/>
          <w:szCs w:val="18"/>
          <w:vertAlign w:val="superscript"/>
        </w:rPr>
        <w:t>2+</w:t>
      </w:r>
      <w:r>
        <w:rPr>
          <w:sz w:val="18"/>
          <w:szCs w:val="18"/>
        </w:rPr>
        <w:t>，Cl</w:t>
      </w:r>
      <w:r>
        <w:rPr>
          <w:sz w:val="18"/>
          <w:szCs w:val="18"/>
          <w:vertAlign w:val="superscript"/>
        </w:rPr>
        <w:t>-</w:t>
      </w:r>
      <w:r>
        <w:rPr>
          <w:sz w:val="18"/>
          <w:szCs w:val="18"/>
        </w:rPr>
        <w:t>等为主要成分。</w:t>
      </w:r>
    </w:p>
    <w:p w14:paraId="4080C563">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综合利用 comprehensive utilization</w:t>
      </w:r>
    </w:p>
    <w:p w14:paraId="17723DCB">
      <w:pPr>
        <w:pStyle w:val="56"/>
        <w:ind w:firstLine="420"/>
      </w:pPr>
      <w:r>
        <w:t>从含铜蚀刻废液(3.1)中回收铜及其他有用成分用作原料或替代材料，通过合成、置换、电解、纯化等工艺处理后进行物质资源化利用的过程。</w:t>
      </w:r>
    </w:p>
    <w:p w14:paraId="3C69B160">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综合利用经营企业 licensed comprehensive utilization company</w:t>
      </w:r>
    </w:p>
    <w:p w14:paraId="55FA8E07">
      <w:pPr>
        <w:pStyle w:val="56"/>
        <w:ind w:firstLine="420"/>
      </w:pPr>
      <w:r>
        <w:t>经许可从事综合利用(3.5)经营活动的企业。</w:t>
      </w:r>
    </w:p>
    <w:p w14:paraId="64985AEF">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综合利用产物 comprehensive utilization product</w:t>
      </w:r>
    </w:p>
    <w:p w14:paraId="32D56BD5">
      <w:pPr>
        <w:pStyle w:val="56"/>
        <w:ind w:firstLine="420"/>
      </w:pPr>
      <w:r>
        <w:t>在综合利用(3.5)过程中产生的具有再次利用价值的产物。</w:t>
      </w:r>
    </w:p>
    <w:p w14:paraId="445821C6">
      <w:pPr>
        <w:pStyle w:val="56"/>
        <w:ind w:firstLine="360"/>
        <w:rPr>
          <w:sz w:val="18"/>
          <w:szCs w:val="18"/>
        </w:rPr>
      </w:pPr>
      <w:r>
        <w:rPr>
          <w:sz w:val="18"/>
          <w:szCs w:val="18"/>
        </w:rPr>
        <w:t>注：包括铜系产物(如碱式氯化铜、硫酸铜</w:t>
      </w:r>
      <w:r>
        <w:rPr>
          <w:rFonts w:hint="eastAsia"/>
          <w:sz w:val="18"/>
          <w:szCs w:val="18"/>
        </w:rPr>
        <w:t>﹑氢氧化铜、氧化铜、金属铜、碱式碳酸铜﹑氯化亚铜</w:t>
      </w:r>
      <w:r>
        <w:rPr>
          <w:sz w:val="18"/>
          <w:szCs w:val="18"/>
        </w:rPr>
        <w:t>，氯化铜等)</w:t>
      </w:r>
      <w:r>
        <w:rPr>
          <w:rFonts w:hint="eastAsia"/>
          <w:sz w:val="18"/>
          <w:szCs w:val="18"/>
        </w:rPr>
        <w:t>、</w:t>
      </w:r>
      <w:r>
        <w:rPr>
          <w:sz w:val="18"/>
          <w:szCs w:val="18"/>
        </w:rPr>
        <w:t>蒸发盐(如硫酸铵</w:t>
      </w:r>
      <w:r>
        <w:rPr>
          <w:rFonts w:hint="eastAsia"/>
          <w:sz w:val="18"/>
          <w:szCs w:val="18"/>
        </w:rPr>
        <w:t>﹑氯化铵﹑氯化钠等</w:t>
      </w:r>
      <w:r>
        <w:rPr>
          <w:sz w:val="18"/>
          <w:szCs w:val="18"/>
        </w:rPr>
        <w:t>)，其他产物(如聚合氯化铝、氯化铁</w:t>
      </w:r>
      <w:r>
        <w:rPr>
          <w:rFonts w:hint="eastAsia"/>
          <w:sz w:val="18"/>
          <w:szCs w:val="18"/>
        </w:rPr>
        <w:t>﹑氯化亚铁</w:t>
      </w:r>
      <w:r>
        <w:rPr>
          <w:sz w:val="18"/>
          <w:szCs w:val="18"/>
        </w:rPr>
        <w:t>)等。</w:t>
      </w:r>
    </w:p>
    <w:p w14:paraId="196692BF">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蒸发盐 evaporated salt</w:t>
      </w:r>
    </w:p>
    <w:p w14:paraId="614A2461">
      <w:pPr>
        <w:pStyle w:val="56"/>
        <w:ind w:firstLine="420"/>
      </w:pPr>
      <w:r>
        <w:t>在综合利用(3.5)过程中产生的含盐废水，经蒸发浓缩产生的固态结晶物</w:t>
      </w:r>
      <w:r>
        <w:rPr>
          <w:rFonts w:hint="eastAsia"/>
        </w:rPr>
        <w:t>。</w:t>
      </w:r>
    </w:p>
    <w:p w14:paraId="4F7FE94E">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定向利用 directional utilization</w:t>
      </w:r>
    </w:p>
    <w:p w14:paraId="0BB81D3A">
      <w:pPr>
        <w:pStyle w:val="56"/>
        <w:ind w:firstLine="420"/>
      </w:pPr>
      <w:r>
        <w:t>将综合利用产物(3.6)作为另外一家单位环境治理或工业产品生产的替代原料进行使用的过程。</w:t>
      </w:r>
    </w:p>
    <w:p w14:paraId="43E52312">
      <w:pPr>
        <w:pStyle w:val="223"/>
        <w:ind w:left="420" w:hanging="420" w:hangingChars="200"/>
        <w:rPr>
          <w:rFonts w:ascii="黑体" w:hAnsi="黑体" w:eastAsia="黑体"/>
        </w:rPr>
      </w:pPr>
      <w:r>
        <w:rPr>
          <w:rFonts w:ascii="黑体" w:hAnsi="黑体" w:eastAsia="黑体"/>
        </w:rPr>
        <w:br w:type="textWrapping"/>
      </w:r>
      <w:r>
        <w:rPr>
          <w:rFonts w:ascii="黑体" w:hAnsi="黑体" w:eastAsia="黑体"/>
        </w:rPr>
        <w:t>再生回用 closed-loop recycling</w:t>
      </w:r>
    </w:p>
    <w:p w14:paraId="0216FF59">
      <w:pPr>
        <w:pStyle w:val="56"/>
        <w:ind w:firstLine="420"/>
      </w:pPr>
      <w:r>
        <w:t>将综合利用产物(3.6)返回原企业再次回用的过程。</w:t>
      </w:r>
    </w:p>
    <w:p w14:paraId="5551105E">
      <w:pPr>
        <w:pStyle w:val="104"/>
        <w:spacing w:before="312" w:after="312"/>
      </w:pPr>
      <w:bookmarkStart w:id="49" w:name="_Toc163045572"/>
      <w:r>
        <w:t>总体要求</w:t>
      </w:r>
      <w:bookmarkEnd w:id="49"/>
    </w:p>
    <w:p w14:paraId="730BA3B8">
      <w:pPr>
        <w:widowControl/>
        <w:numPr>
          <w:ilvl w:val="2"/>
          <w:numId w:val="2"/>
        </w:numPr>
        <w:adjustRightInd/>
        <w:spacing w:line="240" w:lineRule="auto"/>
        <w:rPr>
          <w:rFonts w:ascii="宋体" w:hAnsi="Times New Roman"/>
          <w:kern w:val="0"/>
          <w:szCs w:val="20"/>
          <w:highlight w:val="yellow"/>
        </w:rPr>
      </w:pPr>
      <w:r>
        <w:rPr>
          <w:rFonts w:hint="eastAsia" w:ascii="宋体" w:hAnsi="Times New Roman"/>
          <w:kern w:val="0"/>
          <w:szCs w:val="20"/>
          <w:highlight w:val="yellow"/>
        </w:rPr>
        <w:t>含铜蚀刻废液综合利用经营</w:t>
      </w:r>
      <w:r>
        <w:rPr>
          <w:rFonts w:ascii="宋体" w:hAnsi="Times New Roman"/>
          <w:kern w:val="0"/>
          <w:szCs w:val="20"/>
          <w:highlight w:val="yellow"/>
        </w:rPr>
        <w:t>企业应取得相应的危险废物经营许可证，禁止无经营许可证或者违反经营许可证规定从事含铜蚀刻废液综合利用经营活动。</w:t>
      </w:r>
    </w:p>
    <w:p w14:paraId="3580C5BB">
      <w:pPr>
        <w:widowControl/>
        <w:numPr>
          <w:ilvl w:val="2"/>
          <w:numId w:val="2"/>
        </w:numPr>
        <w:adjustRightInd/>
        <w:spacing w:line="240" w:lineRule="auto"/>
        <w:rPr>
          <w:rFonts w:ascii="宋体" w:hAnsi="Times New Roman"/>
          <w:kern w:val="0"/>
          <w:szCs w:val="20"/>
        </w:rPr>
      </w:pPr>
      <w:r>
        <w:rPr>
          <w:rFonts w:ascii="宋体" w:hAnsi="Times New Roman"/>
          <w:kern w:val="0"/>
          <w:szCs w:val="20"/>
        </w:rPr>
        <w:t>含铜蚀刻废液综合利用项目选址应满足国土空间规划，综合利用经营企业新建、改建、扩建项目应进入工业园区或工业集中区，涉及危险化学品生产的综合利用经营企业应进</w:t>
      </w:r>
      <w:r>
        <w:rPr>
          <w:rFonts w:hint="eastAsia" w:ascii="宋体" w:hAnsi="Times New Roman"/>
          <w:kern w:val="0"/>
          <w:szCs w:val="20"/>
          <w:lang w:val="en-US" w:eastAsia="zh-CN"/>
        </w:rPr>
        <w:t>入</w:t>
      </w:r>
      <w:r>
        <w:rPr>
          <w:rFonts w:ascii="宋体" w:hAnsi="Times New Roman"/>
          <w:kern w:val="0"/>
          <w:szCs w:val="20"/>
        </w:rPr>
        <w:t>化工园区或化工集中区。</w:t>
      </w:r>
    </w:p>
    <w:p w14:paraId="0EF9358D">
      <w:pPr>
        <w:widowControl/>
        <w:numPr>
          <w:ilvl w:val="2"/>
          <w:numId w:val="2"/>
        </w:numPr>
        <w:adjustRightInd/>
        <w:spacing w:line="240" w:lineRule="auto"/>
        <w:rPr>
          <w:rFonts w:ascii="宋体" w:hAnsi="Times New Roman"/>
          <w:kern w:val="0"/>
          <w:szCs w:val="20"/>
        </w:rPr>
      </w:pPr>
      <w:r>
        <w:rPr>
          <w:rFonts w:ascii="宋体" w:hAnsi="Times New Roman"/>
          <w:kern w:val="0"/>
          <w:szCs w:val="20"/>
        </w:rPr>
        <w:t>应根据社会经济发展水平、城市总体规划，技术的先进性、含铜蚀刻废液的产生情况等，</w:t>
      </w:r>
      <w:r>
        <w:rPr>
          <w:rFonts w:hint="eastAsia" w:ascii="宋体" w:hAnsi="Times New Roman"/>
          <w:kern w:val="0"/>
          <w:szCs w:val="20"/>
        </w:rPr>
        <w:t>确</w:t>
      </w:r>
      <w:r>
        <w:rPr>
          <w:rFonts w:ascii="宋体" w:hAnsi="Times New Roman"/>
          <w:kern w:val="0"/>
          <w:szCs w:val="20"/>
        </w:rPr>
        <w:t>定建设规模和工艺技术。</w:t>
      </w:r>
    </w:p>
    <w:p w14:paraId="7A30DF7E">
      <w:pPr>
        <w:widowControl/>
        <w:numPr>
          <w:ilvl w:val="2"/>
          <w:numId w:val="2"/>
        </w:numPr>
        <w:adjustRightInd/>
        <w:spacing w:line="240" w:lineRule="auto"/>
        <w:rPr>
          <w:rFonts w:ascii="宋体" w:hAnsi="Times New Roman"/>
          <w:kern w:val="0"/>
          <w:szCs w:val="20"/>
          <w:highlight w:val="yellow"/>
        </w:rPr>
      </w:pPr>
      <w:r>
        <w:rPr>
          <w:rFonts w:ascii="宋体" w:hAnsi="Times New Roman"/>
          <w:kern w:val="0"/>
          <w:szCs w:val="20"/>
          <w:highlight w:val="yellow"/>
        </w:rPr>
        <w:t>在确定含铜蚀刻废液综合利用工艺技术前，需组织行业专家、科研机构等进行技术先进性评估。评估内容包括工艺的资源回收率、污染物产生量、能耗水平等指标，并与国内外先进技术进行对比分析。评估报告需报当地生态环境部门备案，作为项目审批与验收的重要依据，推动企业采用先进适用技术，提升行业整体水平。</w:t>
      </w:r>
    </w:p>
    <w:p w14:paraId="0263BE26">
      <w:pPr>
        <w:pStyle w:val="104"/>
        <w:spacing w:before="312" w:after="312"/>
      </w:pPr>
      <w:bookmarkStart w:id="50" w:name="_Toc161999345"/>
      <w:bookmarkEnd w:id="50"/>
      <w:bookmarkStart w:id="51" w:name="_Toc163045573"/>
      <w:r>
        <w:t>入厂分析</w:t>
      </w:r>
      <w:bookmarkEnd w:id="51"/>
    </w:p>
    <w:p w14:paraId="52B8456D">
      <w:pPr>
        <w:widowControl/>
        <w:numPr>
          <w:ilvl w:val="2"/>
          <w:numId w:val="2"/>
        </w:numPr>
        <w:adjustRightInd/>
        <w:spacing w:line="240" w:lineRule="auto"/>
        <w:rPr>
          <w:rFonts w:ascii="宋体" w:hAnsi="Times New Roman"/>
          <w:kern w:val="0"/>
          <w:szCs w:val="20"/>
        </w:rPr>
      </w:pPr>
      <w:r>
        <w:rPr>
          <w:rFonts w:ascii="宋体" w:hAnsi="Times New Roman"/>
          <w:kern w:val="0"/>
          <w:szCs w:val="20"/>
        </w:rPr>
        <w:t>应结合入厂含铜蚀刻废液的酸碱性和铜、镍</w:t>
      </w:r>
      <w:r>
        <w:rPr>
          <w:rFonts w:hint="eastAsia" w:ascii="宋体" w:hAnsi="Times New Roman"/>
          <w:kern w:val="0"/>
          <w:szCs w:val="20"/>
        </w:rPr>
        <w:t>、</w:t>
      </w:r>
      <w:r>
        <w:rPr>
          <w:rFonts w:ascii="宋体" w:hAnsi="Times New Roman"/>
          <w:kern w:val="0"/>
          <w:szCs w:val="20"/>
        </w:rPr>
        <w:t>镉、铬、铅、砷、铁</w:t>
      </w:r>
      <w:r>
        <w:rPr>
          <w:rFonts w:hint="eastAsia" w:ascii="宋体" w:hAnsi="Times New Roman"/>
          <w:kern w:val="0"/>
          <w:szCs w:val="20"/>
          <w:lang w:eastAsia="zh-CN"/>
        </w:rPr>
        <w:t>、</w:t>
      </w:r>
      <w:r>
        <w:rPr>
          <w:rFonts w:hint="eastAsia" w:ascii="宋体" w:hAnsi="Times New Roman"/>
          <w:kern w:val="0"/>
          <w:szCs w:val="20"/>
          <w:lang w:val="en-US" w:eastAsia="zh-CN"/>
        </w:rPr>
        <w:t>氟化物</w:t>
      </w:r>
      <w:r>
        <w:rPr>
          <w:rFonts w:ascii="宋体" w:hAnsi="Times New Roman"/>
          <w:kern w:val="0"/>
          <w:szCs w:val="20"/>
        </w:rPr>
        <w:t>等组分，以及采用的工艺和综合利用产物，合理制定含铜蚀刻废液入厂接收标准。</w:t>
      </w:r>
    </w:p>
    <w:p w14:paraId="791A568B">
      <w:pPr>
        <w:widowControl/>
        <w:numPr>
          <w:ilvl w:val="2"/>
          <w:numId w:val="2"/>
        </w:numPr>
        <w:adjustRightInd/>
        <w:spacing w:line="240" w:lineRule="auto"/>
        <w:rPr>
          <w:rFonts w:ascii="宋体" w:hAnsi="Times New Roman"/>
          <w:kern w:val="0"/>
          <w:szCs w:val="20"/>
        </w:rPr>
      </w:pPr>
      <w:r>
        <w:rPr>
          <w:rFonts w:ascii="宋体" w:hAnsi="Times New Roman"/>
          <w:kern w:val="0"/>
          <w:szCs w:val="20"/>
        </w:rPr>
        <w:t>应根据每批次进厂含铜蚀刻废液的来源和性质进行铜</w:t>
      </w:r>
      <w:r>
        <w:rPr>
          <w:rFonts w:hint="eastAsia" w:ascii="宋体" w:hAnsi="Times New Roman"/>
          <w:kern w:val="0"/>
          <w:szCs w:val="20"/>
        </w:rPr>
        <w:t>﹑镍﹑镉、铬、铅、砷等重金属元素成分分析</w:t>
      </w:r>
      <w:r>
        <w:rPr>
          <w:rFonts w:ascii="宋体" w:hAnsi="Times New Roman"/>
          <w:kern w:val="0"/>
          <w:szCs w:val="20"/>
        </w:rPr>
        <w:t>，对同一来源、组分稳定的含铜蚀刻废液可以减少检测频次，不宜少于每月1次，检测方法按照HG/T5018执行。</w:t>
      </w:r>
    </w:p>
    <w:p w14:paraId="303F0833">
      <w:pPr>
        <w:widowControl/>
        <w:numPr>
          <w:ilvl w:val="2"/>
          <w:numId w:val="2"/>
        </w:numPr>
        <w:adjustRightInd/>
        <w:spacing w:line="240" w:lineRule="auto"/>
        <w:rPr>
          <w:rFonts w:ascii="宋体" w:hAnsi="Times New Roman"/>
          <w:kern w:val="0"/>
          <w:szCs w:val="20"/>
        </w:rPr>
      </w:pPr>
      <w:r>
        <w:rPr>
          <w:rFonts w:ascii="宋体" w:hAnsi="Times New Roman"/>
          <w:kern w:val="0"/>
          <w:szCs w:val="20"/>
        </w:rPr>
        <w:t>应建立完善的入厂和分析台账以及危险废物电子数据库，数据保存10年以上。</w:t>
      </w:r>
    </w:p>
    <w:p w14:paraId="5CD0AE23">
      <w:pPr>
        <w:pStyle w:val="104"/>
        <w:spacing w:before="312" w:after="312"/>
      </w:pPr>
      <w:bookmarkStart w:id="52" w:name="_Toc161999346"/>
      <w:bookmarkEnd w:id="52"/>
      <w:bookmarkStart w:id="53" w:name="_Toc163045574"/>
      <w:r>
        <w:t>贮存</w:t>
      </w:r>
      <w:bookmarkEnd w:id="53"/>
    </w:p>
    <w:p w14:paraId="60243963">
      <w:pPr>
        <w:widowControl/>
        <w:numPr>
          <w:ilvl w:val="2"/>
          <w:numId w:val="2"/>
        </w:numPr>
        <w:adjustRightInd/>
        <w:spacing w:line="240" w:lineRule="auto"/>
        <w:rPr>
          <w:rFonts w:ascii="宋体" w:hAnsi="Times New Roman"/>
          <w:kern w:val="0"/>
          <w:szCs w:val="20"/>
          <w:highlight w:val="yellow"/>
        </w:rPr>
      </w:pPr>
      <w:r>
        <w:rPr>
          <w:rFonts w:ascii="宋体" w:hAnsi="Times New Roman"/>
          <w:kern w:val="0"/>
          <w:szCs w:val="20"/>
          <w:highlight w:val="yellow"/>
        </w:rPr>
        <w:t>含铜蚀刻废液产生企业应根据废液酸碱性、主要成分进行分类收集，不得将其他含铜废水、废液混入含铜蚀刻废液。</w:t>
      </w:r>
    </w:p>
    <w:p w14:paraId="54C0677B">
      <w:pPr>
        <w:widowControl/>
        <w:numPr>
          <w:ilvl w:val="2"/>
          <w:numId w:val="2"/>
        </w:numPr>
        <w:adjustRightInd/>
        <w:spacing w:line="240" w:lineRule="auto"/>
        <w:rPr>
          <w:rFonts w:ascii="宋体" w:hAnsi="Times New Roman"/>
          <w:kern w:val="0"/>
          <w:szCs w:val="20"/>
          <w:highlight w:val="yellow"/>
        </w:rPr>
      </w:pPr>
      <w:r>
        <w:rPr>
          <w:rFonts w:ascii="宋体" w:hAnsi="Times New Roman"/>
          <w:kern w:val="0"/>
          <w:szCs w:val="20"/>
          <w:highlight w:val="yellow"/>
        </w:rPr>
        <w:t>当不同批次含铜蚀刻废液混合贮存或处理前，</w:t>
      </w:r>
      <w:r>
        <w:rPr>
          <w:rFonts w:hint="eastAsia" w:ascii="宋体" w:hAnsi="Times New Roman"/>
          <w:kern w:val="0"/>
          <w:szCs w:val="20"/>
          <w:highlight w:val="yellow"/>
          <w:lang w:val="en-US" w:eastAsia="zh-CN"/>
        </w:rPr>
        <w:t>应</w:t>
      </w:r>
      <w:r>
        <w:rPr>
          <w:rFonts w:ascii="宋体" w:hAnsi="Times New Roman"/>
          <w:kern w:val="0"/>
          <w:szCs w:val="20"/>
          <w:highlight w:val="yellow"/>
        </w:rPr>
        <w:t>通过小试实验，分析混合后废液的稳定性、化学反应活性、污染物溶出特性等变化，评估潜在环境风险</w:t>
      </w:r>
      <w:r>
        <w:rPr>
          <w:rFonts w:hint="eastAsia" w:ascii="宋体" w:hAnsi="Times New Roman"/>
          <w:kern w:val="0"/>
          <w:szCs w:val="20"/>
          <w:highlight w:val="yellow"/>
          <w:lang w:eastAsia="zh-CN"/>
        </w:rPr>
        <w:t>，防止因混合不当引发安全与环境问题。</w:t>
      </w:r>
    </w:p>
    <w:p w14:paraId="26C31E30">
      <w:pPr>
        <w:widowControl/>
        <w:numPr>
          <w:ilvl w:val="2"/>
          <w:numId w:val="2"/>
        </w:numPr>
        <w:adjustRightInd/>
        <w:spacing w:line="240" w:lineRule="auto"/>
        <w:rPr>
          <w:rFonts w:ascii="宋体" w:hAnsi="Times New Roman"/>
          <w:kern w:val="0"/>
          <w:szCs w:val="20"/>
        </w:rPr>
      </w:pPr>
      <w:r>
        <w:rPr>
          <w:rFonts w:ascii="宋体" w:hAnsi="Times New Roman"/>
          <w:kern w:val="0"/>
          <w:szCs w:val="20"/>
        </w:rPr>
        <w:t>根据含铜蚀刻废液性质分区、分类贮存，不得采用地下式或半地下式含铜蚀刻废液储池，含铜蚀刻废液储罐应选用耐酸碱、耐腐蚀材质并具备临时取样口，储罐围堰内的有效容积不应小于罐组内单个最大储罐的容积，无组织废气应有效收集及处理，其他要求应符合GB</w:t>
      </w:r>
      <w:r>
        <w:rPr>
          <w:rFonts w:hint="eastAsia" w:ascii="宋体" w:hAnsi="Times New Roman"/>
          <w:kern w:val="0"/>
          <w:szCs w:val="20"/>
        </w:rPr>
        <w:t xml:space="preserve"> </w:t>
      </w:r>
      <w:r>
        <w:rPr>
          <w:rFonts w:ascii="宋体" w:hAnsi="Times New Roman"/>
          <w:kern w:val="0"/>
          <w:szCs w:val="20"/>
        </w:rPr>
        <w:t>18597</w:t>
      </w:r>
      <w:r>
        <w:rPr>
          <w:rFonts w:hint="eastAsia" w:ascii="宋体" w:hAnsi="Times New Roman"/>
          <w:kern w:val="0"/>
          <w:szCs w:val="20"/>
        </w:rPr>
        <w:t>、</w:t>
      </w:r>
      <w:r>
        <w:rPr>
          <w:rFonts w:ascii="宋体" w:hAnsi="Times New Roman"/>
          <w:kern w:val="0"/>
          <w:szCs w:val="20"/>
        </w:rPr>
        <w:t>HJ 2025的规定。</w:t>
      </w:r>
    </w:p>
    <w:p w14:paraId="7D7D15B7">
      <w:pPr>
        <w:widowControl/>
        <w:numPr>
          <w:ilvl w:val="2"/>
          <w:numId w:val="2"/>
        </w:numPr>
        <w:adjustRightInd/>
        <w:spacing w:line="240" w:lineRule="auto"/>
        <w:rPr>
          <w:rFonts w:ascii="宋体" w:hAnsi="Times New Roman"/>
          <w:kern w:val="0"/>
          <w:szCs w:val="20"/>
        </w:rPr>
      </w:pPr>
      <w:r>
        <w:rPr>
          <w:rFonts w:ascii="宋体" w:hAnsi="Times New Roman"/>
          <w:kern w:val="0"/>
          <w:szCs w:val="20"/>
        </w:rPr>
        <w:t>应建立巡检制度，巡检次数不少于每班</w:t>
      </w:r>
      <w:r>
        <w:rPr>
          <w:rFonts w:hint="eastAsia" w:ascii="宋体" w:hAnsi="Times New Roman"/>
          <w:kern w:val="0"/>
          <w:szCs w:val="20"/>
        </w:rPr>
        <w:t>2</w:t>
      </w:r>
      <w:r>
        <w:rPr>
          <w:rFonts w:ascii="宋体" w:hAnsi="Times New Roman"/>
          <w:kern w:val="0"/>
          <w:szCs w:val="20"/>
        </w:rPr>
        <w:t>次，贮存过程中若出现异常现象应立即按应急预案妥善处理。</w:t>
      </w:r>
    </w:p>
    <w:p w14:paraId="05A56F1D">
      <w:pPr>
        <w:pStyle w:val="104"/>
        <w:spacing w:before="312" w:after="312"/>
      </w:pPr>
      <w:bookmarkStart w:id="54" w:name="_Toc161999347"/>
      <w:bookmarkEnd w:id="54"/>
      <w:bookmarkStart w:id="55" w:name="_Toc163045575"/>
      <w:r>
        <w:t>工艺过程</w:t>
      </w:r>
      <w:bookmarkEnd w:id="55"/>
    </w:p>
    <w:p w14:paraId="3E25D420">
      <w:pPr>
        <w:pStyle w:val="105"/>
        <w:spacing w:before="156" w:after="156"/>
      </w:pPr>
      <w:bookmarkStart w:id="56" w:name="_Toc163045576"/>
      <w:r>
        <w:t>一般要求</w:t>
      </w:r>
      <w:bookmarkEnd w:id="56"/>
    </w:p>
    <w:p w14:paraId="6E2EA3BB">
      <w:pPr>
        <w:numPr>
          <w:ilvl w:val="3"/>
          <w:numId w:val="2"/>
        </w:numPr>
        <w:adjustRightInd/>
        <w:spacing w:line="240" w:lineRule="auto"/>
        <w:rPr>
          <w:rFonts w:ascii="宋体" w:hAnsi="Times New Roman"/>
          <w:kern w:val="0"/>
          <w:szCs w:val="20"/>
        </w:rPr>
      </w:pPr>
      <w:r>
        <w:rPr>
          <w:rFonts w:ascii="宋体" w:hAnsi="Times New Roman"/>
          <w:kern w:val="0"/>
          <w:szCs w:val="20"/>
        </w:rPr>
        <w:t>应采用合成法、置换法、电解法等成熟工艺或其他可靠的新技术工艺回收铜，并配套设备设施充分利用非铜成分。</w:t>
      </w:r>
    </w:p>
    <w:p w14:paraId="114E656A">
      <w:pPr>
        <w:numPr>
          <w:ilvl w:val="3"/>
          <w:numId w:val="2"/>
        </w:numPr>
        <w:adjustRightInd/>
        <w:spacing w:line="240" w:lineRule="auto"/>
        <w:rPr>
          <w:rFonts w:ascii="宋体" w:hAnsi="Times New Roman"/>
          <w:kern w:val="0"/>
          <w:szCs w:val="20"/>
        </w:rPr>
      </w:pPr>
      <w:r>
        <w:rPr>
          <w:rFonts w:ascii="宋体" w:hAnsi="Times New Roman"/>
          <w:kern w:val="0"/>
          <w:szCs w:val="20"/>
        </w:rPr>
        <w:t>工艺装置和管路应采用抗压、防腐蚀、耐高温材料，工艺装置应安装液位，pH值在线监控系统和紧急切断装置。</w:t>
      </w:r>
    </w:p>
    <w:p w14:paraId="4F111018">
      <w:pPr>
        <w:numPr>
          <w:ilvl w:val="3"/>
          <w:numId w:val="2"/>
        </w:numPr>
        <w:adjustRightInd/>
        <w:spacing w:line="240" w:lineRule="auto"/>
        <w:rPr>
          <w:rFonts w:ascii="宋体" w:hAnsi="Times New Roman"/>
          <w:kern w:val="0"/>
          <w:szCs w:val="20"/>
          <w:highlight w:val="yellow"/>
        </w:rPr>
      </w:pPr>
      <w:r>
        <w:rPr>
          <w:rFonts w:hint="eastAsia" w:ascii="宋体" w:hAnsi="Times New Roman"/>
          <w:kern w:val="0"/>
          <w:szCs w:val="20"/>
          <w:highlight w:val="yellow"/>
        </w:rPr>
        <w:t>鼓励引入智能化控制系统，对含铜蚀刻废液处理工艺过程中的关键参数（如反应温度、压力、流量、pH 值等）进行实时监测与自动调控。</w:t>
      </w:r>
    </w:p>
    <w:p w14:paraId="2472636F">
      <w:pPr>
        <w:pStyle w:val="105"/>
        <w:spacing w:before="156" w:after="156"/>
      </w:pPr>
      <w:bookmarkStart w:id="57" w:name="_Toc163045577"/>
      <w:r>
        <w:t>合成法</w:t>
      </w:r>
      <w:bookmarkEnd w:id="57"/>
    </w:p>
    <w:p w14:paraId="6305672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合成法是含铜蚀刻废液</w:t>
      </w:r>
      <w:r>
        <w:rPr>
          <w:rFonts w:ascii="宋体" w:hAnsi="Times New Roman"/>
          <w:kern w:val="0"/>
          <w:szCs w:val="20"/>
        </w:rPr>
        <w:t>(3.1)相互中和或与酸</w:t>
      </w:r>
      <w:r>
        <w:rPr>
          <w:rFonts w:hint="eastAsia" w:ascii="宋体" w:hAnsi="Times New Roman"/>
          <w:kern w:val="0"/>
          <w:szCs w:val="20"/>
        </w:rPr>
        <w:t>﹑碱等反应提取铜系产物的工艺方法。从预处理工艺来的碱性预处理后溶液与酸性预处理后溶液按照比例进入反应釜，加热、搅拌、洗涤、过滤得到铜系产品</w:t>
      </w:r>
      <w:r>
        <w:rPr>
          <w:rFonts w:ascii="宋体" w:hAnsi="Times New Roman"/>
          <w:kern w:val="0"/>
          <w:szCs w:val="20"/>
        </w:rPr>
        <w:t>(如作为下游生产原料则直接进入下游工序)，再进行烘干、筛分、包装得到工业</w:t>
      </w:r>
      <w:r>
        <w:rPr>
          <w:rFonts w:hint="eastAsia" w:ascii="宋体" w:hAnsi="Times New Roman"/>
          <w:kern w:val="0"/>
          <w:szCs w:val="20"/>
        </w:rPr>
        <w:t>铜系产品</w:t>
      </w:r>
      <w:r>
        <w:rPr>
          <w:rFonts w:ascii="宋体" w:hAnsi="Times New Roman"/>
          <w:kern w:val="0"/>
          <w:szCs w:val="20"/>
        </w:rPr>
        <w:t>。</w:t>
      </w:r>
    </w:p>
    <w:p w14:paraId="4990F53E">
      <w:pPr>
        <w:numPr>
          <w:ilvl w:val="3"/>
          <w:numId w:val="2"/>
        </w:numPr>
        <w:adjustRightInd/>
        <w:spacing w:line="240" w:lineRule="auto"/>
        <w:rPr>
          <w:rFonts w:ascii="宋体" w:hAnsi="Times New Roman"/>
          <w:kern w:val="0"/>
          <w:szCs w:val="20"/>
        </w:rPr>
      </w:pPr>
      <w:r>
        <w:rPr>
          <w:rFonts w:ascii="宋体" w:hAnsi="Times New Roman"/>
          <w:kern w:val="0"/>
          <w:szCs w:val="20"/>
        </w:rPr>
        <w:t>含铜蚀刻废液合成工艺过程控制参照GB/T 31528—2015的要求执行</w:t>
      </w:r>
      <w:r>
        <w:rPr>
          <w:rFonts w:hint="eastAsia" w:ascii="宋体" w:hAnsi="Times New Roman"/>
          <w:kern w:val="0"/>
          <w:szCs w:val="20"/>
        </w:rPr>
        <w:t>，</w:t>
      </w:r>
      <w:r>
        <w:rPr>
          <w:rFonts w:hint="eastAsia" w:ascii="宋体" w:hAnsi="Times New Roman"/>
          <w:kern w:val="0"/>
          <w:szCs w:val="20"/>
          <w:highlight w:val="yellow"/>
        </w:rPr>
        <w:t>合理控制工艺参数，确保含铜蚀刻液有效利用</w:t>
      </w:r>
      <w:r>
        <w:rPr>
          <w:rFonts w:ascii="宋体" w:hAnsi="Times New Roman"/>
          <w:kern w:val="0"/>
          <w:szCs w:val="20"/>
          <w:highlight w:val="yellow"/>
        </w:rPr>
        <w:t>。</w:t>
      </w:r>
      <w:r>
        <w:rPr>
          <w:rFonts w:hint="eastAsia" w:ascii="宋体" w:hAnsi="Times New Roman"/>
          <w:kern w:val="0"/>
          <w:szCs w:val="20"/>
        </w:rPr>
        <w:t>，典型铜系产品合成工艺流程、工艺参数、生产设备、产品指标详见附录A</w:t>
      </w:r>
      <w:r>
        <w:rPr>
          <w:rFonts w:ascii="宋体" w:hAnsi="Times New Roman"/>
          <w:kern w:val="0"/>
          <w:szCs w:val="20"/>
        </w:rPr>
        <w:t>。</w:t>
      </w:r>
    </w:p>
    <w:p w14:paraId="28374076">
      <w:pPr>
        <w:numPr>
          <w:ilvl w:val="3"/>
          <w:numId w:val="2"/>
        </w:numPr>
        <w:adjustRightInd/>
        <w:spacing w:line="240" w:lineRule="auto"/>
        <w:rPr>
          <w:rFonts w:ascii="宋体" w:hAnsi="Times New Roman"/>
          <w:kern w:val="0"/>
          <w:szCs w:val="20"/>
          <w:highlight w:val="yellow"/>
        </w:rPr>
      </w:pPr>
      <w:r>
        <w:rPr>
          <w:rFonts w:hint="eastAsia" w:ascii="宋体" w:hAnsi="Times New Roman"/>
          <w:kern w:val="0"/>
          <w:szCs w:val="20"/>
          <w:highlight w:val="yellow"/>
        </w:rPr>
        <w:t>合成工艺过程应进行负压收集，合理确定集气罩风速、风量、风压、尺寸等各项参数，避免有害气体逸出，配备相应的尾气处理设施。</w:t>
      </w:r>
    </w:p>
    <w:p w14:paraId="12096AED">
      <w:pPr>
        <w:numPr>
          <w:ilvl w:val="3"/>
          <w:numId w:val="2"/>
        </w:numPr>
        <w:adjustRightInd/>
        <w:spacing w:line="240" w:lineRule="auto"/>
        <w:rPr>
          <w:rFonts w:ascii="宋体" w:hAnsi="Times New Roman"/>
          <w:kern w:val="0"/>
          <w:szCs w:val="20"/>
        </w:rPr>
      </w:pPr>
      <w:r>
        <w:rPr>
          <w:rFonts w:ascii="宋体" w:hAnsi="Times New Roman"/>
          <w:kern w:val="0"/>
          <w:szCs w:val="20"/>
        </w:rPr>
        <w:t>合成工艺应配备铜系产物的精制提纯工序，包括除杂、结晶、洗涤、离心，烘干等工序。干燥工序应使用清洁能源。</w:t>
      </w:r>
    </w:p>
    <w:p w14:paraId="7DAC2871">
      <w:pPr>
        <w:pStyle w:val="105"/>
        <w:spacing w:before="156" w:after="156"/>
      </w:pPr>
      <w:bookmarkStart w:id="58" w:name="_Toc163045578"/>
      <w:bookmarkStart w:id="59" w:name="OLE_LINK1"/>
      <w:r>
        <w:t>置换法</w:t>
      </w:r>
      <w:bookmarkEnd w:id="58"/>
      <w:bookmarkEnd w:id="59"/>
    </w:p>
    <w:p w14:paraId="5EFCB07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置换法是含铜蚀刻废液</w:t>
      </w:r>
      <w:r>
        <w:rPr>
          <w:rFonts w:ascii="宋体" w:hAnsi="Times New Roman"/>
          <w:kern w:val="0"/>
          <w:szCs w:val="20"/>
        </w:rPr>
        <w:t>(3.l)中加入铁粉、铝片、铝箔等还原介质与铜离子发生置换反应，生成海绵铜与聚合氯化铝</w:t>
      </w:r>
      <w:r>
        <w:rPr>
          <w:rFonts w:hint="eastAsia" w:ascii="宋体" w:hAnsi="Times New Roman"/>
          <w:kern w:val="0"/>
          <w:szCs w:val="20"/>
        </w:rPr>
        <w:t>﹑氯化亚铁，氯化铁等产物的工艺方法。适用于酸性蚀刻废液和三氯化铁含铜蚀刻废液的综合利用，分为铁法和铝法。</w:t>
      </w:r>
    </w:p>
    <w:p w14:paraId="3BD02AA3">
      <w:pPr>
        <w:numPr>
          <w:ilvl w:val="3"/>
          <w:numId w:val="2"/>
        </w:numPr>
        <w:adjustRightInd/>
        <w:spacing w:line="240" w:lineRule="auto"/>
        <w:rPr>
          <w:rFonts w:ascii="宋体" w:hAnsi="Times New Roman"/>
          <w:kern w:val="0"/>
          <w:szCs w:val="20"/>
        </w:rPr>
      </w:pPr>
      <w:r>
        <w:rPr>
          <w:rFonts w:ascii="宋体" w:hAnsi="Times New Roman"/>
          <w:kern w:val="0"/>
          <w:szCs w:val="20"/>
        </w:rPr>
        <w:t>应合理控制还原介质的投加量及投加方式，配备氢气检测仪，生产车间选用防爆电机。</w:t>
      </w:r>
    </w:p>
    <w:p w14:paraId="12F8354C">
      <w:pPr>
        <w:numPr>
          <w:ilvl w:val="3"/>
          <w:numId w:val="2"/>
        </w:numPr>
        <w:adjustRightInd/>
        <w:spacing w:line="240" w:lineRule="auto"/>
        <w:rPr>
          <w:rFonts w:ascii="宋体" w:hAnsi="Times New Roman"/>
          <w:kern w:val="0"/>
          <w:szCs w:val="20"/>
          <w:highlight w:val="yellow"/>
        </w:rPr>
      </w:pPr>
      <w:r>
        <w:rPr>
          <w:rFonts w:hint="eastAsia" w:ascii="宋体" w:hAnsi="Times New Roman"/>
          <w:kern w:val="0"/>
          <w:szCs w:val="20"/>
          <w:highlight w:val="yellow"/>
        </w:rPr>
        <w:t>置换过程应进行负压收集，合理确定风速、风量、风压等各项参数，避免有害气体逸出，配备相应的尾气处理设施。</w:t>
      </w:r>
    </w:p>
    <w:p w14:paraId="6BE085DC">
      <w:pPr>
        <w:numPr>
          <w:ilvl w:val="3"/>
          <w:numId w:val="2"/>
        </w:numPr>
        <w:adjustRightInd/>
        <w:spacing w:line="240" w:lineRule="auto"/>
        <w:rPr>
          <w:rFonts w:ascii="宋体" w:hAnsi="Times New Roman"/>
          <w:kern w:val="0"/>
          <w:szCs w:val="20"/>
        </w:rPr>
      </w:pPr>
      <w:r>
        <w:rPr>
          <w:rFonts w:ascii="宋体" w:hAnsi="Times New Roman"/>
          <w:kern w:val="0"/>
          <w:szCs w:val="20"/>
        </w:rPr>
        <w:t>置换产生的海绵铜应配备精制提纯工序，包括洗涤、离心、脱水等。</w:t>
      </w:r>
    </w:p>
    <w:p w14:paraId="2C20D7B0">
      <w:pPr>
        <w:numPr>
          <w:ilvl w:val="3"/>
          <w:numId w:val="2"/>
        </w:numPr>
        <w:adjustRightInd/>
        <w:spacing w:line="240" w:lineRule="auto"/>
        <w:rPr>
          <w:rFonts w:ascii="宋体" w:hAnsi="Times New Roman"/>
          <w:kern w:val="0"/>
          <w:szCs w:val="20"/>
        </w:rPr>
      </w:pPr>
      <w:r>
        <w:rPr>
          <w:rFonts w:hint="eastAsia" w:ascii="宋体" w:hAnsi="Times New Roman"/>
          <w:kern w:val="0"/>
          <w:szCs w:val="20"/>
        </w:rPr>
        <w:t>置换法铁法工艺废气应采用碱喷淋吸收后排放，喷淋水循环使用。</w:t>
      </w:r>
    </w:p>
    <w:p w14:paraId="5FE03923">
      <w:pPr>
        <w:numPr>
          <w:ilvl w:val="3"/>
          <w:numId w:val="2"/>
        </w:numPr>
        <w:adjustRightInd/>
        <w:spacing w:line="240" w:lineRule="auto"/>
        <w:rPr>
          <w:rFonts w:ascii="宋体" w:hAnsi="Times New Roman"/>
          <w:kern w:val="0"/>
          <w:szCs w:val="20"/>
        </w:rPr>
      </w:pPr>
      <w:r>
        <w:rPr>
          <w:rFonts w:ascii="宋体" w:hAnsi="Times New Roman"/>
          <w:kern w:val="0"/>
          <w:szCs w:val="20"/>
        </w:rPr>
        <w:t>置换法</w:t>
      </w:r>
      <w:r>
        <w:rPr>
          <w:rFonts w:hint="eastAsia" w:ascii="宋体" w:hAnsi="Times New Roman"/>
          <w:kern w:val="0"/>
          <w:szCs w:val="20"/>
        </w:rPr>
        <w:t>铝法</w:t>
      </w:r>
      <w:r>
        <w:rPr>
          <w:rFonts w:ascii="宋体" w:hAnsi="Times New Roman"/>
          <w:kern w:val="0"/>
          <w:szCs w:val="20"/>
        </w:rPr>
        <w:t>生产聚合氯化铝等水处理剂应配备重金属等有害杂质去除工序</w:t>
      </w:r>
      <w:r>
        <w:rPr>
          <w:rFonts w:hint="eastAsia" w:ascii="宋体" w:hAnsi="Times New Roman"/>
          <w:kern w:val="0"/>
          <w:szCs w:val="20"/>
        </w:rPr>
        <w:t>。</w:t>
      </w:r>
    </w:p>
    <w:p w14:paraId="13A69D25">
      <w:pPr>
        <w:pStyle w:val="105"/>
        <w:spacing w:before="156" w:after="156"/>
      </w:pPr>
      <w:bookmarkStart w:id="60" w:name="_Toc163045579"/>
      <w:r>
        <w:t>电解法</w:t>
      </w:r>
      <w:bookmarkEnd w:id="60"/>
    </w:p>
    <w:p w14:paraId="267BCF8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电解法是以含铜蚀刻废液</w:t>
      </w:r>
      <w:r>
        <w:rPr>
          <w:rFonts w:ascii="宋体" w:hAnsi="Times New Roman"/>
          <w:kern w:val="0"/>
          <w:szCs w:val="20"/>
        </w:rPr>
        <w:t>(3.1)为原料采用电解设备生产金属铜的工艺方法。</w:t>
      </w:r>
      <w:r>
        <w:rPr>
          <w:rFonts w:hint="eastAsia" w:ascii="宋体" w:hAnsi="Times New Roman"/>
          <w:kern w:val="0"/>
          <w:szCs w:val="20"/>
        </w:rPr>
        <w:t>包括对酸性含铜蚀刻废液</w:t>
      </w:r>
      <w:r>
        <w:rPr>
          <w:rFonts w:ascii="宋体" w:hAnsi="Times New Roman"/>
          <w:kern w:val="0"/>
          <w:szCs w:val="20"/>
        </w:rPr>
        <w:t>(3.2)电解</w:t>
      </w:r>
      <w:r>
        <w:rPr>
          <w:rFonts w:hint="eastAsia" w:ascii="宋体" w:hAnsi="Times New Roman"/>
          <w:kern w:val="0"/>
          <w:szCs w:val="20"/>
        </w:rPr>
        <w:t>、对碱性含铜蚀刻废液</w:t>
      </w:r>
      <w:r>
        <w:rPr>
          <w:rFonts w:ascii="宋体" w:hAnsi="Times New Roman"/>
          <w:kern w:val="0"/>
          <w:szCs w:val="20"/>
        </w:rPr>
        <w:t>(3.3)电解等。</w:t>
      </w:r>
      <w:r>
        <w:rPr>
          <w:rFonts w:hint="eastAsia" w:ascii="宋体" w:hAnsi="Times New Roman"/>
          <w:kern w:val="0"/>
          <w:szCs w:val="20"/>
        </w:rPr>
        <w:t>常用于蚀刻废液产生企业在线处理并回收蚀刻液。</w:t>
      </w:r>
    </w:p>
    <w:p w14:paraId="02380A5C">
      <w:pPr>
        <w:numPr>
          <w:ilvl w:val="3"/>
          <w:numId w:val="2"/>
        </w:numPr>
        <w:adjustRightInd/>
        <w:spacing w:line="240" w:lineRule="auto"/>
        <w:rPr>
          <w:rFonts w:ascii="宋体" w:hAnsi="Times New Roman"/>
          <w:kern w:val="0"/>
          <w:szCs w:val="20"/>
        </w:rPr>
      </w:pPr>
      <w:r>
        <w:rPr>
          <w:rFonts w:ascii="宋体" w:hAnsi="Times New Roman"/>
          <w:kern w:val="0"/>
          <w:szCs w:val="20"/>
        </w:rPr>
        <w:t>应合理控制萃取、电解等工艺的反应参数(如萃取剂投加量</w:t>
      </w:r>
      <w:r>
        <w:rPr>
          <w:rFonts w:hint="eastAsia" w:ascii="宋体" w:hAnsi="Times New Roman"/>
          <w:kern w:val="0"/>
          <w:szCs w:val="20"/>
        </w:rPr>
        <w:t>、电流密度、电解时间等</w:t>
      </w:r>
      <w:r>
        <w:rPr>
          <w:rFonts w:ascii="宋体" w:hAnsi="Times New Roman"/>
          <w:kern w:val="0"/>
          <w:szCs w:val="20"/>
        </w:rPr>
        <w:t>)。</w:t>
      </w:r>
    </w:p>
    <w:p w14:paraId="7B8925AC">
      <w:pPr>
        <w:numPr>
          <w:ilvl w:val="3"/>
          <w:numId w:val="2"/>
        </w:numPr>
        <w:adjustRightInd/>
        <w:spacing w:line="240" w:lineRule="auto"/>
        <w:rPr>
          <w:rFonts w:ascii="宋体" w:hAnsi="Times New Roman"/>
          <w:kern w:val="0"/>
          <w:szCs w:val="20"/>
        </w:rPr>
      </w:pPr>
      <w:r>
        <w:rPr>
          <w:rFonts w:ascii="宋体" w:hAnsi="Times New Roman"/>
          <w:kern w:val="0"/>
          <w:szCs w:val="20"/>
        </w:rPr>
        <w:t>采用直接电解法对酸性蚀刻废液综合利用的车间应设置氯气泄漏检测报警仪。</w:t>
      </w:r>
    </w:p>
    <w:p w14:paraId="39AB832D">
      <w:pPr>
        <w:pStyle w:val="104"/>
        <w:spacing w:before="312" w:after="312"/>
      </w:pPr>
      <w:bookmarkStart w:id="61" w:name="_Toc161999348"/>
      <w:bookmarkEnd w:id="61"/>
      <w:bookmarkStart w:id="62" w:name="_Toc163045580"/>
      <w:r>
        <w:t>环境保护</w:t>
      </w:r>
      <w:bookmarkEnd w:id="62"/>
    </w:p>
    <w:p w14:paraId="1F9D826C">
      <w:pPr>
        <w:pStyle w:val="105"/>
        <w:spacing w:before="156" w:after="156"/>
      </w:pPr>
      <w:bookmarkStart w:id="63" w:name="_Toc163045581"/>
      <w:r>
        <w:t>废气</w:t>
      </w:r>
      <w:bookmarkEnd w:id="63"/>
    </w:p>
    <w:p w14:paraId="5448E06B">
      <w:pPr>
        <w:numPr>
          <w:ilvl w:val="3"/>
          <w:numId w:val="2"/>
        </w:numPr>
        <w:adjustRightInd/>
        <w:spacing w:line="240" w:lineRule="auto"/>
        <w:rPr>
          <w:rFonts w:ascii="宋体" w:hAnsi="Times New Roman"/>
          <w:kern w:val="0"/>
          <w:szCs w:val="20"/>
        </w:rPr>
      </w:pPr>
      <w:r>
        <w:rPr>
          <w:rFonts w:ascii="宋体" w:hAnsi="Times New Roman"/>
          <w:kern w:val="0"/>
          <w:szCs w:val="20"/>
        </w:rPr>
        <w:t>综合利用过程中产生的酸碱气体、含尘废气等有害气体应采用负压、集气罩等有效收集，配备相应的尾气处理设施，减少废气无组织排放。</w:t>
      </w:r>
    </w:p>
    <w:p w14:paraId="5288242A">
      <w:pPr>
        <w:numPr>
          <w:ilvl w:val="3"/>
          <w:numId w:val="2"/>
        </w:numPr>
        <w:adjustRightInd/>
        <w:spacing w:line="240" w:lineRule="auto"/>
        <w:rPr>
          <w:rFonts w:ascii="宋体" w:hAnsi="Times New Roman"/>
          <w:kern w:val="0"/>
          <w:szCs w:val="20"/>
        </w:rPr>
      </w:pPr>
      <w:r>
        <w:rPr>
          <w:rFonts w:ascii="宋体" w:hAnsi="Times New Roman"/>
          <w:kern w:val="0"/>
          <w:szCs w:val="20"/>
        </w:rPr>
        <w:t>综合利用工艺产生的氯气、硫酸雾</w:t>
      </w:r>
      <w:r>
        <w:rPr>
          <w:rFonts w:hint="eastAsia" w:ascii="宋体" w:hAnsi="Times New Roman"/>
          <w:kern w:val="0"/>
          <w:szCs w:val="20"/>
        </w:rPr>
        <w:t>﹑氯化氢、氨等酸碱气体</w:t>
      </w:r>
      <w:r>
        <w:rPr>
          <w:rFonts w:ascii="宋体" w:hAnsi="Times New Roman"/>
          <w:kern w:val="0"/>
          <w:szCs w:val="20"/>
        </w:rPr>
        <w:t>，应采用喷淋净化等方式处理，氯气、硫酸雾</w:t>
      </w:r>
      <w:r>
        <w:rPr>
          <w:rFonts w:hint="eastAsia" w:ascii="宋体" w:hAnsi="Times New Roman"/>
          <w:kern w:val="0"/>
          <w:szCs w:val="20"/>
        </w:rPr>
        <w:t>﹑氯化氢、</w:t>
      </w:r>
      <w:r>
        <w:rPr>
          <w:rFonts w:ascii="宋体" w:hAnsi="Times New Roman"/>
          <w:kern w:val="0"/>
          <w:szCs w:val="20"/>
        </w:rPr>
        <w:t>氨符合GB</w:t>
      </w:r>
      <w:r>
        <w:rPr>
          <w:rFonts w:hint="eastAsia" w:ascii="宋体" w:hAnsi="Times New Roman"/>
          <w:kern w:val="0"/>
          <w:szCs w:val="20"/>
        </w:rPr>
        <w:t xml:space="preserve"> </w:t>
      </w:r>
      <w:r>
        <w:rPr>
          <w:rFonts w:ascii="宋体" w:hAnsi="Times New Roman"/>
          <w:kern w:val="0"/>
          <w:szCs w:val="20"/>
        </w:rPr>
        <w:t>14554的排放控制要求。</w:t>
      </w:r>
    </w:p>
    <w:p w14:paraId="49491384">
      <w:pPr>
        <w:numPr>
          <w:ilvl w:val="3"/>
          <w:numId w:val="2"/>
        </w:numPr>
        <w:adjustRightInd/>
        <w:spacing w:line="240" w:lineRule="auto"/>
        <w:rPr>
          <w:rFonts w:ascii="宋体" w:hAnsi="Times New Roman"/>
          <w:kern w:val="0"/>
          <w:szCs w:val="20"/>
        </w:rPr>
      </w:pPr>
      <w:r>
        <w:rPr>
          <w:rFonts w:ascii="宋体" w:hAnsi="Times New Roman"/>
          <w:kern w:val="0"/>
          <w:szCs w:val="20"/>
        </w:rPr>
        <w:t>干燥产生的含尘废气应采用袋式除尘等高效除尘方式，符合GB</w:t>
      </w:r>
      <w:r>
        <w:rPr>
          <w:rFonts w:hint="eastAsia" w:ascii="宋体" w:hAnsi="Times New Roman"/>
          <w:kern w:val="0"/>
          <w:szCs w:val="20"/>
        </w:rPr>
        <w:t xml:space="preserve"> </w:t>
      </w:r>
      <w:r>
        <w:rPr>
          <w:rFonts w:ascii="宋体" w:hAnsi="Times New Roman"/>
          <w:kern w:val="0"/>
          <w:szCs w:val="20"/>
        </w:rPr>
        <w:t>16297的排放要求。</w:t>
      </w:r>
    </w:p>
    <w:p w14:paraId="51C29DBC">
      <w:pPr>
        <w:pStyle w:val="105"/>
        <w:spacing w:before="156" w:after="156"/>
      </w:pPr>
      <w:bookmarkStart w:id="64" w:name="_Toc163045582"/>
      <w:r>
        <w:t>废水</w:t>
      </w:r>
      <w:bookmarkEnd w:id="64"/>
    </w:p>
    <w:p w14:paraId="71233DD3">
      <w:pPr>
        <w:numPr>
          <w:ilvl w:val="3"/>
          <w:numId w:val="2"/>
        </w:numPr>
        <w:adjustRightInd/>
        <w:spacing w:line="240" w:lineRule="auto"/>
        <w:rPr>
          <w:rFonts w:ascii="宋体" w:hAnsi="Times New Roman"/>
          <w:kern w:val="0"/>
          <w:szCs w:val="20"/>
        </w:rPr>
      </w:pPr>
      <w:r>
        <w:rPr>
          <w:rFonts w:ascii="宋体" w:hAnsi="Times New Roman"/>
          <w:kern w:val="0"/>
          <w:szCs w:val="20"/>
        </w:rPr>
        <w:t>洗涤</w:t>
      </w:r>
      <w:r>
        <w:rPr>
          <w:rFonts w:hint="eastAsia" w:ascii="宋体" w:hAnsi="Times New Roman"/>
          <w:kern w:val="0"/>
          <w:szCs w:val="20"/>
        </w:rPr>
        <w:t>﹑结晶﹑脱水等工序产生的滤液宜回用于综合利用工序。</w:t>
      </w:r>
    </w:p>
    <w:p w14:paraId="545324CA">
      <w:pPr>
        <w:numPr>
          <w:ilvl w:val="3"/>
          <w:numId w:val="2"/>
        </w:numPr>
        <w:adjustRightInd/>
        <w:spacing w:line="240" w:lineRule="auto"/>
        <w:rPr>
          <w:rFonts w:ascii="宋体" w:hAnsi="Times New Roman"/>
          <w:kern w:val="0"/>
          <w:szCs w:val="20"/>
          <w:highlight w:val="yellow"/>
        </w:rPr>
      </w:pPr>
      <w:r>
        <w:rPr>
          <w:rFonts w:ascii="宋体" w:hAnsi="Times New Roman"/>
          <w:kern w:val="0"/>
          <w:szCs w:val="20"/>
          <w:highlight w:val="yellow"/>
        </w:rPr>
        <w:t>应根据废水水质，合理选择成熟稳定的工艺技术及处理设备。</w:t>
      </w:r>
      <w:r>
        <w:rPr>
          <w:rFonts w:hint="eastAsia" w:ascii="宋体" w:hAnsi="Times New Roman"/>
          <w:kern w:val="0"/>
          <w:szCs w:val="20"/>
          <w:highlight w:val="yellow"/>
        </w:rPr>
        <w:t>在生产过程中</w:t>
      </w:r>
      <w:r>
        <w:rPr>
          <w:rFonts w:ascii="宋体" w:hAnsi="Times New Roman"/>
          <w:kern w:val="0"/>
          <w:szCs w:val="20"/>
          <w:highlight w:val="yellow"/>
        </w:rPr>
        <w:t>，会产生含铜离子和铵离子的废水，采用</w:t>
      </w:r>
      <w:r>
        <w:rPr>
          <w:rFonts w:hint="eastAsia" w:ascii="宋体" w:hAnsi="Times New Roman"/>
          <w:kern w:val="0"/>
          <w:szCs w:val="20"/>
          <w:highlight w:val="yellow"/>
          <w:lang w:val="en-US" w:eastAsia="zh-CN"/>
        </w:rPr>
        <w:t>螯合</w:t>
      </w:r>
      <w:r>
        <w:rPr>
          <w:rFonts w:ascii="宋体" w:hAnsi="Times New Roman"/>
          <w:kern w:val="0"/>
          <w:szCs w:val="20"/>
          <w:highlight w:val="yellow"/>
        </w:rPr>
        <w:t>型二价阳离子选择吸附树脂两级除铜深度处理；离子交换树脂可反复使用，含铜洗脱液返回生产。除铜后的废水，按氯化铵浓度分为两种，高浓度氯化铵废水采用多效蒸发或机械蒸汽再压缩式(MVR)蒸发器技术，将废水进行蒸发</w:t>
      </w:r>
      <w:r>
        <w:rPr>
          <w:rFonts w:hint="eastAsia" w:ascii="宋体" w:hAnsi="Times New Roman"/>
          <w:kern w:val="0"/>
          <w:szCs w:val="20"/>
          <w:highlight w:val="yellow"/>
          <w:lang w:val="en-US" w:eastAsia="zh-CN"/>
        </w:rPr>
        <w:t>结晶</w:t>
      </w:r>
      <w:r>
        <w:rPr>
          <w:rFonts w:ascii="宋体" w:hAnsi="Times New Roman"/>
          <w:kern w:val="0"/>
          <w:szCs w:val="20"/>
          <w:highlight w:val="yellow"/>
        </w:rPr>
        <w:t>，得到氯化铵固体产品；低浓度氯化铵废水采用铵吹脱或者反渗透等废水处理工艺脱铵，蒸汽冷凝水或脱铵废水视情况回用于生产。</w:t>
      </w:r>
    </w:p>
    <w:p w14:paraId="21A60F4E">
      <w:pPr>
        <w:numPr>
          <w:ilvl w:val="3"/>
          <w:numId w:val="2"/>
        </w:numPr>
        <w:adjustRightInd/>
        <w:spacing w:line="240" w:lineRule="auto"/>
        <w:rPr>
          <w:rFonts w:ascii="宋体" w:hAnsi="Times New Roman"/>
          <w:kern w:val="0"/>
          <w:szCs w:val="20"/>
        </w:rPr>
      </w:pPr>
      <w:r>
        <w:rPr>
          <w:rFonts w:ascii="宋体" w:hAnsi="Times New Roman"/>
          <w:kern w:val="0"/>
          <w:szCs w:val="20"/>
        </w:rPr>
        <w:t>企业废水总排放口的总铜以及含铜蚀刻废液综合利用车间或车间处理设施排放口的废水中总镍、总镉</w:t>
      </w:r>
      <w:r>
        <w:rPr>
          <w:rFonts w:hint="eastAsia" w:ascii="宋体" w:hAnsi="Times New Roman"/>
          <w:kern w:val="0"/>
          <w:szCs w:val="20"/>
        </w:rPr>
        <w:t>﹑总铬﹑总铅﹑总砷等重金属浓度应符合</w:t>
      </w:r>
      <w:r>
        <w:rPr>
          <w:rFonts w:ascii="宋体" w:hAnsi="Times New Roman"/>
          <w:kern w:val="0"/>
          <w:szCs w:val="20"/>
        </w:rPr>
        <w:t>GB 31573排放限值要求，其他污染物应符合GB 8978以及污水处理厂纳管标准的要求。</w:t>
      </w:r>
    </w:p>
    <w:p w14:paraId="29498C03">
      <w:pPr>
        <w:pStyle w:val="105"/>
        <w:spacing w:before="156" w:after="156"/>
      </w:pPr>
      <w:bookmarkStart w:id="65" w:name="_Toc163045583"/>
      <w:r>
        <w:t>固体废物</w:t>
      </w:r>
      <w:bookmarkEnd w:id="65"/>
    </w:p>
    <w:p w14:paraId="63FE959E">
      <w:pPr>
        <w:numPr>
          <w:ilvl w:val="3"/>
          <w:numId w:val="2"/>
        </w:numPr>
        <w:adjustRightInd/>
        <w:spacing w:line="240" w:lineRule="auto"/>
        <w:rPr>
          <w:rFonts w:ascii="宋体" w:hAnsi="Times New Roman"/>
          <w:kern w:val="0"/>
          <w:szCs w:val="20"/>
        </w:rPr>
      </w:pPr>
      <w:r>
        <w:rPr>
          <w:rFonts w:ascii="宋体" w:hAnsi="Times New Roman"/>
          <w:kern w:val="0"/>
          <w:szCs w:val="20"/>
        </w:rPr>
        <w:t>含铜蚀刻废液综合利用过程中产生的固体废物参照《国家危险废物名录》按照GB 5085(所有部分)、HJ 298明确其属性及利用处置方式。</w:t>
      </w:r>
    </w:p>
    <w:p w14:paraId="70407C2F">
      <w:pPr>
        <w:pStyle w:val="165"/>
      </w:pPr>
      <w:r>
        <w:t>应对固体废物的产生、贮存、利用处置的数量及去向进行详细记录，数据保存10年以上。</w:t>
      </w:r>
    </w:p>
    <w:p w14:paraId="7158B084">
      <w:pPr>
        <w:pStyle w:val="105"/>
        <w:spacing w:before="156" w:after="156"/>
      </w:pPr>
      <w:bookmarkStart w:id="66" w:name="_Toc163045584"/>
      <w:r>
        <w:t>噪声</w:t>
      </w:r>
      <w:bookmarkEnd w:id="66"/>
    </w:p>
    <w:p w14:paraId="6CA76741">
      <w:pPr>
        <w:numPr>
          <w:ilvl w:val="3"/>
          <w:numId w:val="2"/>
        </w:numPr>
        <w:adjustRightInd/>
        <w:spacing w:line="240" w:lineRule="auto"/>
        <w:rPr>
          <w:rFonts w:ascii="宋体" w:hAnsi="Times New Roman"/>
          <w:kern w:val="0"/>
          <w:szCs w:val="20"/>
        </w:rPr>
      </w:pPr>
      <w:r>
        <w:rPr>
          <w:rFonts w:ascii="宋体" w:hAnsi="Times New Roman"/>
          <w:kern w:val="0"/>
          <w:szCs w:val="20"/>
        </w:rPr>
        <w:t>对于物料输送泵、真空泵、风机、空压机等机械设备，宜选用低噪声的设备，并采用合理的降噪、减噪措施，确保设备运转时厂界噪声符合GB 12348的要求。</w:t>
      </w:r>
    </w:p>
    <w:p w14:paraId="2CF1AB94">
      <w:pPr>
        <w:numPr>
          <w:ilvl w:val="3"/>
          <w:numId w:val="2"/>
        </w:numPr>
        <w:adjustRightInd/>
        <w:spacing w:line="240" w:lineRule="auto"/>
        <w:rPr>
          <w:rFonts w:ascii="宋体" w:hAnsi="Times New Roman"/>
          <w:kern w:val="0"/>
          <w:szCs w:val="20"/>
        </w:rPr>
      </w:pPr>
      <w:r>
        <w:rPr>
          <w:rFonts w:ascii="宋体" w:hAnsi="Times New Roman"/>
          <w:kern w:val="0"/>
          <w:szCs w:val="20"/>
        </w:rPr>
        <w:t>对于搬运、车辆运输等非机械噪声产生环节，应采取减少固体振动和碰撞过程噪声产生的管理措施。</w:t>
      </w:r>
    </w:p>
    <w:p w14:paraId="7116C0E3">
      <w:pPr>
        <w:pStyle w:val="104"/>
        <w:spacing w:before="312" w:after="312"/>
      </w:pPr>
      <w:bookmarkStart w:id="67" w:name="_Toc161999349"/>
      <w:bookmarkEnd w:id="67"/>
      <w:bookmarkStart w:id="68" w:name="_Toc163045585"/>
      <w:r>
        <w:t>综合利用产物</w:t>
      </w:r>
      <w:bookmarkEnd w:id="68"/>
    </w:p>
    <w:p w14:paraId="4CDA8D3B">
      <w:pPr>
        <w:pStyle w:val="105"/>
        <w:spacing w:before="156" w:after="156"/>
      </w:pPr>
      <w:bookmarkStart w:id="69" w:name="_Toc163045586"/>
      <w:r>
        <w:t>一般要求</w:t>
      </w:r>
      <w:bookmarkEnd w:id="69"/>
    </w:p>
    <w:p w14:paraId="7C27F92B">
      <w:pPr>
        <w:numPr>
          <w:ilvl w:val="3"/>
          <w:numId w:val="2"/>
        </w:numPr>
        <w:adjustRightInd/>
        <w:spacing w:line="240" w:lineRule="auto"/>
        <w:rPr>
          <w:rFonts w:ascii="宋体" w:hAnsi="Times New Roman"/>
          <w:kern w:val="0"/>
          <w:szCs w:val="20"/>
        </w:rPr>
      </w:pPr>
      <w:r>
        <w:rPr>
          <w:rFonts w:hint="eastAsia" w:ascii="宋体" w:hAnsi="Times New Roman"/>
          <w:kern w:val="0"/>
          <w:szCs w:val="20"/>
        </w:rPr>
        <w:t>应</w:t>
      </w:r>
      <w:r>
        <w:rPr>
          <w:rFonts w:ascii="宋体" w:hAnsi="Times New Roman"/>
          <w:kern w:val="0"/>
          <w:szCs w:val="20"/>
        </w:rPr>
        <w:t>建立综合利用产物的生产台账记录制度，记录内容包括综合利用产物生产时间、生产工艺、名称、数量、流向(使用单位及用途)等，并进行月度和年度汇总。</w:t>
      </w:r>
    </w:p>
    <w:p w14:paraId="0AA6B38A">
      <w:pPr>
        <w:numPr>
          <w:ilvl w:val="3"/>
          <w:numId w:val="2"/>
        </w:numPr>
        <w:adjustRightInd/>
        <w:spacing w:line="240" w:lineRule="auto"/>
        <w:rPr>
          <w:rFonts w:ascii="宋体" w:hAnsi="Times New Roman"/>
          <w:kern w:val="0"/>
          <w:szCs w:val="20"/>
          <w:highlight w:val="yellow"/>
        </w:rPr>
      </w:pPr>
      <w:r>
        <w:rPr>
          <w:rFonts w:ascii="宋体" w:hAnsi="Times New Roman"/>
          <w:kern w:val="0"/>
          <w:szCs w:val="20"/>
          <w:highlight w:val="yellow"/>
        </w:rPr>
        <w:t>综合利用产物进入市场流通前，应在使用说明书上注明生产厂家名称、含铜蚀刻废液类别和代码，综合利用产物主要组分及重金属含量</w:t>
      </w:r>
      <w:r>
        <w:rPr>
          <w:rFonts w:hint="eastAsia" w:ascii="宋体" w:hAnsi="Times New Roman"/>
          <w:kern w:val="0"/>
          <w:szCs w:val="20"/>
          <w:highlight w:val="yellow"/>
        </w:rPr>
        <w:t>﹑使用行业范围及用途等信息。</w:t>
      </w:r>
    </w:p>
    <w:p w14:paraId="249B6E74">
      <w:pPr>
        <w:numPr>
          <w:ilvl w:val="3"/>
          <w:numId w:val="2"/>
        </w:numPr>
        <w:adjustRightInd/>
        <w:spacing w:line="240" w:lineRule="auto"/>
        <w:rPr>
          <w:rFonts w:ascii="宋体" w:hAnsi="Times New Roman"/>
          <w:kern w:val="0"/>
          <w:szCs w:val="20"/>
        </w:rPr>
      </w:pPr>
      <w:r>
        <w:rPr>
          <w:rFonts w:ascii="宋体" w:hAnsi="Times New Roman"/>
          <w:kern w:val="0"/>
          <w:szCs w:val="20"/>
        </w:rPr>
        <w:t>综合利用产物不得</w:t>
      </w:r>
      <w:r>
        <w:rPr>
          <w:rFonts w:hint="eastAsia" w:ascii="宋体" w:hAnsi="Times New Roman"/>
          <w:kern w:val="0"/>
          <w:szCs w:val="20"/>
          <w:lang w:val="en-US" w:eastAsia="zh-CN"/>
        </w:rPr>
        <w:t>用作</w:t>
      </w:r>
      <w:r>
        <w:rPr>
          <w:rFonts w:ascii="宋体" w:hAnsi="Times New Roman"/>
          <w:kern w:val="0"/>
          <w:szCs w:val="20"/>
        </w:rPr>
        <w:t>与人体直接接触产品的替代原辅料，或流向饮用水、食品、药品</w:t>
      </w:r>
      <w:r>
        <w:rPr>
          <w:rFonts w:hint="eastAsia" w:ascii="宋体" w:hAnsi="Times New Roman"/>
          <w:kern w:val="0"/>
          <w:szCs w:val="20"/>
        </w:rPr>
        <w:t>、</w:t>
      </w:r>
      <w:r>
        <w:rPr>
          <w:rFonts w:ascii="宋体" w:hAnsi="Times New Roman"/>
          <w:kern w:val="0"/>
          <w:szCs w:val="20"/>
        </w:rPr>
        <w:t>种植及养殖等行业，满足国家标准和国家、地方许可的除外。</w:t>
      </w:r>
    </w:p>
    <w:p w14:paraId="3AA083AC">
      <w:pPr>
        <w:pStyle w:val="105"/>
        <w:spacing w:before="156" w:after="156"/>
      </w:pPr>
      <w:bookmarkStart w:id="70" w:name="_Toc163045587"/>
      <w:r>
        <w:t>铜系产物</w:t>
      </w:r>
      <w:bookmarkEnd w:id="70"/>
    </w:p>
    <w:p w14:paraId="1EC1E191">
      <w:pPr>
        <w:numPr>
          <w:ilvl w:val="3"/>
          <w:numId w:val="2"/>
        </w:numPr>
        <w:adjustRightInd/>
        <w:spacing w:line="240" w:lineRule="auto"/>
        <w:rPr>
          <w:rFonts w:ascii="宋体" w:hAnsi="Times New Roman"/>
          <w:kern w:val="0"/>
          <w:szCs w:val="20"/>
        </w:rPr>
      </w:pPr>
      <w:r>
        <w:rPr>
          <w:rFonts w:ascii="宋体" w:hAnsi="Times New Roman"/>
          <w:kern w:val="0"/>
          <w:szCs w:val="20"/>
        </w:rPr>
        <w:t>铜系产物应根据其使用途径，采取相应分级管控措施，具体要求如下。</w:t>
      </w:r>
    </w:p>
    <w:p w14:paraId="15E36F05">
      <w:pPr>
        <w:pStyle w:val="174"/>
      </w:pPr>
      <w:r>
        <w:t>作为产品管理的，按照GB</w:t>
      </w:r>
      <w:r>
        <w:rPr>
          <w:rFonts w:hint="eastAsia"/>
        </w:rPr>
        <w:t xml:space="preserve"> </w:t>
      </w:r>
      <w:r>
        <w:t>34330，HJ 1091规定，应达到国家、地方制定或行业通行的产品质量标准要求，并符合国家相关污染控制标准或技术规范，包括该产物生产过程中排放到环境中的特征污染物含量标准和该产物中特征污染物的含量标准及本文件表1相关含量要求。</w:t>
      </w:r>
    </w:p>
    <w:p w14:paraId="630D1B8C">
      <w:pPr>
        <w:pStyle w:val="174"/>
      </w:pPr>
      <w:r>
        <w:t>不满足a情形，采用“定向利用”的方式时，在满足管理要求的前提下，直接提供给金属冶炼企业作为冶炼原料。未采用“定向利用”方式时，应按照HJ 1091相关要求开展环境风险定性及定量评价，在环境风险可接受的前提下确定铜系产物使用行业及用途。</w:t>
      </w:r>
    </w:p>
    <w:p w14:paraId="6743A3F3">
      <w:pPr>
        <w:numPr>
          <w:ilvl w:val="3"/>
          <w:numId w:val="2"/>
        </w:numPr>
        <w:adjustRightInd/>
        <w:spacing w:line="240" w:lineRule="auto"/>
        <w:rPr>
          <w:rFonts w:ascii="宋体" w:hAnsi="Times New Roman"/>
          <w:kern w:val="0"/>
          <w:szCs w:val="20"/>
        </w:rPr>
      </w:pPr>
      <w:r>
        <w:rPr>
          <w:rFonts w:ascii="宋体" w:hAnsi="Times New Roman"/>
          <w:kern w:val="0"/>
          <w:szCs w:val="20"/>
        </w:rPr>
        <w:t>应按照HJ1091规定的监测要求及频次，定期对铜系产物重金属含量进行检测，检测方法按表l规定执行。</w:t>
      </w:r>
    </w:p>
    <w:p w14:paraId="24B14EBB">
      <w:pPr>
        <w:pStyle w:val="112"/>
        <w:spacing w:before="156" w:after="156"/>
      </w:pPr>
      <w:r>
        <w:rPr>
          <w:rFonts w:hint="eastAsia"/>
        </w:rPr>
        <w:t xml:space="preserve">铜系产物中主要重金属含量要求 </w:t>
      </w:r>
      <w:r>
        <w:t xml:space="preserve">  </w:t>
      </w:r>
      <w:r>
        <w:rPr>
          <w:rFonts w:hint="eastAsia"/>
        </w:rPr>
        <w:t>单位：mg/kg</w:t>
      </w:r>
    </w:p>
    <w:tbl>
      <w:tblPr>
        <w:tblStyle w:val="26"/>
        <w:tblW w:w="0" w:type="auto"/>
        <w:jc w:val="center"/>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0" w:type="dxa"/>
          <w:bottom w:w="0" w:type="dxa"/>
          <w:right w:w="0" w:type="dxa"/>
        </w:tblCellMar>
      </w:tblPr>
      <w:tblGrid>
        <w:gridCol w:w="1413"/>
        <w:gridCol w:w="1701"/>
        <w:gridCol w:w="1843"/>
        <w:gridCol w:w="3339"/>
      </w:tblGrid>
      <w:tr w14:paraId="587E70B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8" w:space="0"/>
              <w:left w:val="single" w:color="auto" w:sz="8" w:space="0"/>
              <w:bottom w:val="single" w:color="auto" w:sz="8" w:space="0"/>
              <w:right w:val="single" w:color="auto" w:sz="4" w:space="0"/>
            </w:tcBorders>
            <w:shd w:val="clear" w:color="auto" w:fill="auto"/>
            <w:vAlign w:val="center"/>
          </w:tcPr>
          <w:p w14:paraId="32A916A5">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重金属指标</w:t>
            </w:r>
          </w:p>
        </w:tc>
        <w:tc>
          <w:tcPr>
            <w:tcW w:w="1701" w:type="dxa"/>
            <w:tcBorders>
              <w:top w:val="single" w:color="auto" w:sz="8" w:space="0"/>
              <w:left w:val="single" w:color="auto" w:sz="4" w:space="0"/>
              <w:bottom w:val="single" w:color="auto" w:sz="8" w:space="0"/>
              <w:right w:val="single" w:color="auto" w:sz="4" w:space="0"/>
            </w:tcBorders>
            <w:shd w:val="clear" w:color="auto" w:fill="auto"/>
            <w:vAlign w:val="center"/>
          </w:tcPr>
          <w:p w14:paraId="308F9809">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含量要求（金属冶炼企业）</w:t>
            </w:r>
          </w:p>
        </w:tc>
        <w:tc>
          <w:tcPr>
            <w:tcW w:w="1843" w:type="dxa"/>
            <w:tcBorders>
              <w:top w:val="single" w:color="auto" w:sz="8" w:space="0"/>
              <w:left w:val="single" w:color="auto" w:sz="4" w:space="0"/>
              <w:bottom w:val="single" w:color="auto" w:sz="8" w:space="0"/>
              <w:right w:val="single" w:color="auto" w:sz="12" w:space="0"/>
            </w:tcBorders>
            <w:shd w:val="clear" w:color="auto" w:fill="auto"/>
            <w:vAlign w:val="center"/>
          </w:tcPr>
          <w:p w14:paraId="46EB190C">
            <w:pPr>
              <w:widowControl/>
              <w:autoSpaceDE w:val="0"/>
              <w:autoSpaceDN w:val="0"/>
              <w:adjustRightInd/>
              <w:spacing w:line="240" w:lineRule="auto"/>
              <w:jc w:val="center"/>
              <w:rPr>
                <w:rFonts w:ascii="宋体" w:hAnsi="Times New Roman"/>
                <w:kern w:val="0"/>
                <w:sz w:val="18"/>
                <w:szCs w:val="20"/>
              </w:rPr>
            </w:pPr>
            <w:r>
              <w:rPr>
                <w:rFonts w:hint="eastAsia" w:ascii="宋体" w:hAnsi="Times New Roman"/>
                <w:kern w:val="0"/>
                <w:sz w:val="18"/>
                <w:szCs w:val="20"/>
              </w:rPr>
              <w:t>含量要求（其他企业）</w:t>
            </w:r>
          </w:p>
        </w:tc>
        <w:tc>
          <w:tcPr>
            <w:tcW w:w="3339" w:type="dxa"/>
            <w:tcBorders>
              <w:top w:val="single" w:color="auto" w:sz="8" w:space="0"/>
              <w:left w:val="nil"/>
              <w:bottom w:val="single" w:color="auto" w:sz="8" w:space="0"/>
              <w:right w:val="single" w:color="auto" w:sz="8" w:space="0"/>
            </w:tcBorders>
            <w:shd w:val="clear" w:color="auto" w:fill="auto"/>
            <w:vAlign w:val="center"/>
          </w:tcPr>
          <w:p w14:paraId="1F609613">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检测方法</w:t>
            </w:r>
          </w:p>
        </w:tc>
      </w:tr>
      <w:tr w14:paraId="1615B38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8" w:space="0"/>
              <w:left w:val="single" w:color="auto" w:sz="8" w:space="0"/>
              <w:bottom w:val="single" w:color="auto" w:sz="4" w:space="0"/>
              <w:right w:val="single" w:color="auto" w:sz="4" w:space="0"/>
            </w:tcBorders>
            <w:shd w:val="clear" w:color="auto" w:fill="auto"/>
            <w:vAlign w:val="center"/>
          </w:tcPr>
          <w:p w14:paraId="6499600E">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镍</w:t>
            </w:r>
          </w:p>
        </w:tc>
        <w:tc>
          <w:tcPr>
            <w:tcW w:w="1701" w:type="dxa"/>
            <w:tcBorders>
              <w:top w:val="single" w:color="auto" w:sz="8" w:space="0"/>
              <w:left w:val="single" w:color="auto" w:sz="4" w:space="0"/>
              <w:bottom w:val="single" w:color="auto" w:sz="4" w:space="0"/>
              <w:right w:val="single" w:color="auto" w:sz="4" w:space="0"/>
            </w:tcBorders>
            <w:shd w:val="clear" w:color="auto" w:fill="auto"/>
            <w:vAlign w:val="center"/>
          </w:tcPr>
          <w:p w14:paraId="00941EE5">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≤3</w:t>
            </w:r>
            <w:r>
              <w:rPr>
                <w:rFonts w:ascii="宋体" w:hAnsi="Times New Roman"/>
                <w:kern w:val="0"/>
                <w:sz w:val="18"/>
                <w:szCs w:val="20"/>
              </w:rPr>
              <w:t>00</w:t>
            </w:r>
          </w:p>
        </w:tc>
        <w:tc>
          <w:tcPr>
            <w:tcW w:w="1843" w:type="dxa"/>
            <w:tcBorders>
              <w:top w:val="single" w:color="auto" w:sz="8" w:space="0"/>
              <w:left w:val="single" w:color="auto" w:sz="4" w:space="0"/>
              <w:bottom w:val="single" w:color="auto" w:sz="4" w:space="0"/>
              <w:right w:val="single" w:color="auto" w:sz="4" w:space="0"/>
            </w:tcBorders>
            <w:shd w:val="clear" w:color="auto" w:fill="auto"/>
            <w:vAlign w:val="center"/>
          </w:tcPr>
          <w:p w14:paraId="37E15472">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100</w:t>
            </w:r>
          </w:p>
        </w:tc>
        <w:tc>
          <w:tcPr>
            <w:tcW w:w="3339" w:type="dxa"/>
            <w:tcBorders>
              <w:top w:val="single" w:color="auto" w:sz="8" w:space="0"/>
              <w:left w:val="single" w:color="auto" w:sz="4" w:space="0"/>
              <w:bottom w:val="single" w:color="auto" w:sz="4" w:space="0"/>
              <w:right w:val="single" w:color="auto" w:sz="8" w:space="0"/>
            </w:tcBorders>
            <w:shd w:val="clear" w:color="auto" w:fill="auto"/>
            <w:vAlign w:val="center"/>
          </w:tcPr>
          <w:p w14:paraId="6AB010BA">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H</w:t>
            </w:r>
            <w:r>
              <w:rPr>
                <w:rFonts w:ascii="宋体" w:hAnsi="Times New Roman"/>
                <w:kern w:val="0"/>
                <w:sz w:val="18"/>
                <w:szCs w:val="20"/>
              </w:rPr>
              <w:t>J 751</w:t>
            </w:r>
            <w:r>
              <w:rPr>
                <w:rFonts w:hint="eastAsia" w:ascii="宋体" w:hAnsi="Times New Roman"/>
                <w:kern w:val="0"/>
                <w:sz w:val="18"/>
                <w:szCs w:val="20"/>
              </w:rPr>
              <w:t>、H</w:t>
            </w:r>
            <w:r>
              <w:rPr>
                <w:rFonts w:ascii="宋体" w:hAnsi="Times New Roman"/>
                <w:kern w:val="0"/>
                <w:sz w:val="18"/>
                <w:szCs w:val="20"/>
              </w:rPr>
              <w:t>J 752</w:t>
            </w:r>
            <w:r>
              <w:rPr>
                <w:rFonts w:hint="eastAsia" w:ascii="宋体" w:hAnsi="Times New Roman"/>
                <w:kern w:val="0"/>
                <w:sz w:val="18"/>
                <w:szCs w:val="20"/>
              </w:rPr>
              <w:t>、H</w:t>
            </w:r>
            <w:r>
              <w:rPr>
                <w:rFonts w:ascii="宋体" w:hAnsi="Times New Roman"/>
                <w:kern w:val="0"/>
                <w:sz w:val="18"/>
                <w:szCs w:val="20"/>
              </w:rPr>
              <w:t>J 766</w:t>
            </w:r>
            <w:r>
              <w:rPr>
                <w:rFonts w:hint="eastAsia" w:ascii="宋体" w:hAnsi="Times New Roman"/>
                <w:kern w:val="0"/>
                <w:sz w:val="18"/>
                <w:szCs w:val="20"/>
              </w:rPr>
              <w:t>、H</w:t>
            </w:r>
            <w:r>
              <w:rPr>
                <w:rFonts w:ascii="宋体" w:hAnsi="Times New Roman"/>
                <w:kern w:val="0"/>
                <w:sz w:val="18"/>
                <w:szCs w:val="20"/>
              </w:rPr>
              <w:t>J 781</w:t>
            </w:r>
          </w:p>
        </w:tc>
      </w:tr>
      <w:tr w14:paraId="67C1FABF">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4" w:space="0"/>
              <w:left w:val="single" w:color="auto" w:sz="8" w:space="0"/>
              <w:bottom w:val="single" w:color="auto" w:sz="4" w:space="0"/>
              <w:right w:val="single" w:color="auto" w:sz="4" w:space="0"/>
            </w:tcBorders>
            <w:shd w:val="clear" w:color="auto" w:fill="auto"/>
            <w:vAlign w:val="center"/>
          </w:tcPr>
          <w:p w14:paraId="6802A563">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镉</w:t>
            </w:r>
          </w:p>
        </w:tc>
        <w:tc>
          <w:tcPr>
            <w:tcW w:w="1701" w:type="dxa"/>
            <w:tcBorders>
              <w:top w:val="single" w:color="auto" w:sz="4" w:space="0"/>
              <w:left w:val="single" w:color="auto" w:sz="4" w:space="0"/>
              <w:bottom w:val="single" w:color="auto" w:sz="4" w:space="0"/>
              <w:right w:val="single" w:color="auto" w:sz="4" w:space="0"/>
            </w:tcBorders>
            <w:shd w:val="clear" w:color="auto" w:fill="auto"/>
            <w:vAlign w:val="center"/>
          </w:tcPr>
          <w:p w14:paraId="542B930A">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≤3</w:t>
            </w:r>
            <w:r>
              <w:rPr>
                <w:rFonts w:ascii="宋体" w:hAnsi="Times New Roman"/>
                <w:kern w:val="0"/>
                <w:sz w:val="18"/>
                <w:szCs w:val="20"/>
              </w:rPr>
              <w:t>0</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423B99B7">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≤3</w:t>
            </w:r>
            <w:r>
              <w:rPr>
                <w:rFonts w:ascii="宋体" w:hAnsi="Times New Roman"/>
                <w:kern w:val="0"/>
                <w:sz w:val="18"/>
                <w:szCs w:val="20"/>
              </w:rPr>
              <w:t>0</w:t>
            </w:r>
          </w:p>
        </w:tc>
        <w:tc>
          <w:tcPr>
            <w:tcW w:w="3339" w:type="dxa"/>
            <w:tcBorders>
              <w:top w:val="single" w:color="auto" w:sz="4" w:space="0"/>
              <w:left w:val="single" w:color="auto" w:sz="4" w:space="0"/>
              <w:bottom w:val="single" w:color="auto" w:sz="4" w:space="0"/>
              <w:right w:val="single" w:color="auto" w:sz="8" w:space="0"/>
            </w:tcBorders>
            <w:shd w:val="clear" w:color="auto" w:fill="auto"/>
            <w:vAlign w:val="center"/>
          </w:tcPr>
          <w:p w14:paraId="299A9A95">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H</w:t>
            </w:r>
            <w:r>
              <w:rPr>
                <w:rFonts w:ascii="宋体" w:hAnsi="Times New Roman"/>
                <w:kern w:val="0"/>
                <w:sz w:val="18"/>
                <w:szCs w:val="20"/>
              </w:rPr>
              <w:t>J 766</w:t>
            </w:r>
            <w:r>
              <w:rPr>
                <w:rFonts w:hint="eastAsia" w:ascii="宋体" w:hAnsi="Times New Roman"/>
                <w:kern w:val="0"/>
                <w:sz w:val="18"/>
                <w:szCs w:val="20"/>
              </w:rPr>
              <w:t>、H</w:t>
            </w:r>
            <w:r>
              <w:rPr>
                <w:rFonts w:ascii="宋体" w:hAnsi="Times New Roman"/>
                <w:kern w:val="0"/>
                <w:sz w:val="18"/>
                <w:szCs w:val="20"/>
              </w:rPr>
              <w:t>J 781</w:t>
            </w:r>
            <w:r>
              <w:rPr>
                <w:rFonts w:hint="eastAsia" w:ascii="宋体" w:hAnsi="Times New Roman"/>
                <w:kern w:val="0"/>
                <w:sz w:val="18"/>
                <w:szCs w:val="20"/>
              </w:rPr>
              <w:t>、H</w:t>
            </w:r>
            <w:r>
              <w:rPr>
                <w:rFonts w:ascii="宋体" w:hAnsi="Times New Roman"/>
                <w:kern w:val="0"/>
                <w:sz w:val="18"/>
                <w:szCs w:val="20"/>
              </w:rPr>
              <w:t>J 786</w:t>
            </w:r>
            <w:r>
              <w:rPr>
                <w:rFonts w:hint="eastAsia" w:ascii="宋体" w:hAnsi="Times New Roman"/>
                <w:kern w:val="0"/>
                <w:sz w:val="18"/>
                <w:szCs w:val="20"/>
              </w:rPr>
              <w:t>、H</w:t>
            </w:r>
            <w:r>
              <w:rPr>
                <w:rFonts w:ascii="宋体" w:hAnsi="Times New Roman"/>
                <w:kern w:val="0"/>
                <w:sz w:val="18"/>
                <w:szCs w:val="20"/>
              </w:rPr>
              <w:t>J 787</w:t>
            </w:r>
          </w:p>
        </w:tc>
      </w:tr>
      <w:tr w14:paraId="216B881A">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4" w:space="0"/>
              <w:left w:val="single" w:color="auto" w:sz="8" w:space="0"/>
              <w:bottom w:val="single" w:color="auto" w:sz="4" w:space="0"/>
              <w:right w:val="single" w:color="auto" w:sz="4" w:space="0"/>
            </w:tcBorders>
            <w:shd w:val="clear" w:color="auto" w:fill="auto"/>
            <w:vAlign w:val="center"/>
          </w:tcPr>
          <w:p w14:paraId="4FCB2E94">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铬</w:t>
            </w:r>
          </w:p>
        </w:tc>
        <w:tc>
          <w:tcPr>
            <w:tcW w:w="1701" w:type="dxa"/>
            <w:tcBorders>
              <w:top w:val="single" w:color="auto" w:sz="4" w:space="0"/>
              <w:left w:val="single" w:color="auto" w:sz="4" w:space="0"/>
              <w:bottom w:val="single" w:color="auto" w:sz="4" w:space="0"/>
              <w:right w:val="single" w:color="auto" w:sz="4" w:space="0"/>
            </w:tcBorders>
            <w:shd w:val="clear" w:color="auto" w:fill="auto"/>
            <w:vAlign w:val="center"/>
          </w:tcPr>
          <w:p w14:paraId="24EFE581">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1500</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110BFFBA">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50</w:t>
            </w:r>
          </w:p>
        </w:tc>
        <w:tc>
          <w:tcPr>
            <w:tcW w:w="3339" w:type="dxa"/>
            <w:tcBorders>
              <w:top w:val="single" w:color="auto" w:sz="4" w:space="0"/>
              <w:left w:val="single" w:color="auto" w:sz="4" w:space="0"/>
              <w:bottom w:val="single" w:color="auto" w:sz="4" w:space="0"/>
              <w:right w:val="single" w:color="auto" w:sz="8" w:space="0"/>
            </w:tcBorders>
            <w:shd w:val="clear" w:color="auto" w:fill="auto"/>
            <w:vAlign w:val="center"/>
          </w:tcPr>
          <w:p w14:paraId="52DB3FCF">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H</w:t>
            </w:r>
            <w:r>
              <w:rPr>
                <w:rFonts w:ascii="宋体" w:hAnsi="Times New Roman"/>
                <w:kern w:val="0"/>
                <w:sz w:val="18"/>
                <w:szCs w:val="20"/>
              </w:rPr>
              <w:t>J 749</w:t>
            </w:r>
            <w:r>
              <w:rPr>
                <w:rFonts w:hint="eastAsia" w:ascii="宋体" w:hAnsi="Times New Roman"/>
                <w:kern w:val="0"/>
                <w:sz w:val="18"/>
                <w:szCs w:val="20"/>
              </w:rPr>
              <w:t>、H</w:t>
            </w:r>
            <w:r>
              <w:rPr>
                <w:rFonts w:ascii="宋体" w:hAnsi="Times New Roman"/>
                <w:kern w:val="0"/>
                <w:sz w:val="18"/>
                <w:szCs w:val="20"/>
              </w:rPr>
              <w:t>J 750</w:t>
            </w:r>
            <w:r>
              <w:rPr>
                <w:rFonts w:hint="eastAsia" w:ascii="宋体" w:hAnsi="Times New Roman"/>
                <w:kern w:val="0"/>
                <w:sz w:val="18"/>
                <w:szCs w:val="20"/>
              </w:rPr>
              <w:t>、H</w:t>
            </w:r>
            <w:r>
              <w:rPr>
                <w:rFonts w:ascii="宋体" w:hAnsi="Times New Roman"/>
                <w:kern w:val="0"/>
                <w:sz w:val="18"/>
                <w:szCs w:val="20"/>
              </w:rPr>
              <w:t>J 766</w:t>
            </w:r>
            <w:r>
              <w:rPr>
                <w:rFonts w:hint="eastAsia" w:ascii="宋体" w:hAnsi="Times New Roman"/>
                <w:kern w:val="0"/>
                <w:sz w:val="18"/>
                <w:szCs w:val="20"/>
              </w:rPr>
              <w:t>、H</w:t>
            </w:r>
            <w:r>
              <w:rPr>
                <w:rFonts w:ascii="宋体" w:hAnsi="Times New Roman"/>
                <w:kern w:val="0"/>
                <w:sz w:val="18"/>
                <w:szCs w:val="20"/>
              </w:rPr>
              <w:t>J 781</w:t>
            </w:r>
          </w:p>
        </w:tc>
      </w:tr>
      <w:tr w14:paraId="67F482FC">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4" w:space="0"/>
              <w:left w:val="single" w:color="auto" w:sz="8" w:space="0"/>
              <w:bottom w:val="single" w:color="auto" w:sz="4" w:space="0"/>
              <w:right w:val="single" w:color="auto" w:sz="4" w:space="0"/>
            </w:tcBorders>
            <w:shd w:val="clear" w:color="auto" w:fill="auto"/>
            <w:vAlign w:val="center"/>
          </w:tcPr>
          <w:p w14:paraId="6FC1DD6B">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砷</w:t>
            </w:r>
          </w:p>
        </w:tc>
        <w:tc>
          <w:tcPr>
            <w:tcW w:w="1701" w:type="dxa"/>
            <w:tcBorders>
              <w:top w:val="single" w:color="auto" w:sz="4" w:space="0"/>
              <w:left w:val="single" w:color="auto" w:sz="4" w:space="0"/>
              <w:bottom w:val="single" w:color="auto" w:sz="4" w:space="0"/>
              <w:right w:val="single" w:color="auto" w:sz="4" w:space="0"/>
            </w:tcBorders>
            <w:shd w:val="clear" w:color="auto" w:fill="auto"/>
            <w:vAlign w:val="center"/>
          </w:tcPr>
          <w:p w14:paraId="292B0FBD">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100</w:t>
            </w:r>
          </w:p>
        </w:tc>
        <w:tc>
          <w:tcPr>
            <w:tcW w:w="1843" w:type="dxa"/>
            <w:tcBorders>
              <w:top w:val="single" w:color="auto" w:sz="4" w:space="0"/>
              <w:left w:val="single" w:color="auto" w:sz="4" w:space="0"/>
              <w:bottom w:val="single" w:color="auto" w:sz="4" w:space="0"/>
              <w:right w:val="single" w:color="auto" w:sz="4" w:space="0"/>
            </w:tcBorders>
            <w:shd w:val="clear" w:color="auto" w:fill="auto"/>
            <w:vAlign w:val="center"/>
          </w:tcPr>
          <w:p w14:paraId="74FACACC">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100</w:t>
            </w:r>
          </w:p>
        </w:tc>
        <w:tc>
          <w:tcPr>
            <w:tcW w:w="3339" w:type="dxa"/>
            <w:tcBorders>
              <w:top w:val="single" w:color="auto" w:sz="4" w:space="0"/>
              <w:left w:val="single" w:color="auto" w:sz="4" w:space="0"/>
              <w:bottom w:val="single" w:color="auto" w:sz="4" w:space="0"/>
              <w:right w:val="single" w:color="auto" w:sz="8" w:space="0"/>
            </w:tcBorders>
            <w:shd w:val="clear" w:color="auto" w:fill="auto"/>
            <w:vAlign w:val="center"/>
          </w:tcPr>
          <w:p w14:paraId="2CDFC38D">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H</w:t>
            </w:r>
            <w:r>
              <w:rPr>
                <w:rFonts w:ascii="宋体" w:hAnsi="Times New Roman"/>
                <w:kern w:val="0"/>
                <w:sz w:val="18"/>
                <w:szCs w:val="20"/>
              </w:rPr>
              <w:t>J 702</w:t>
            </w:r>
            <w:r>
              <w:rPr>
                <w:rFonts w:hint="eastAsia" w:ascii="宋体" w:hAnsi="Times New Roman"/>
                <w:kern w:val="0"/>
                <w:sz w:val="18"/>
                <w:szCs w:val="20"/>
              </w:rPr>
              <w:t>、H</w:t>
            </w:r>
            <w:r>
              <w:rPr>
                <w:rFonts w:ascii="宋体" w:hAnsi="Times New Roman"/>
                <w:kern w:val="0"/>
                <w:sz w:val="18"/>
                <w:szCs w:val="20"/>
              </w:rPr>
              <w:t>J 766</w:t>
            </w:r>
          </w:p>
        </w:tc>
      </w:tr>
      <w:tr w14:paraId="69C41E92">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0" w:type="dxa"/>
            <w:bottom w:w="0" w:type="dxa"/>
            <w:right w:w="0" w:type="dxa"/>
          </w:tblCellMar>
        </w:tblPrEx>
        <w:trPr>
          <w:jc w:val="center"/>
        </w:trPr>
        <w:tc>
          <w:tcPr>
            <w:tcW w:w="1413" w:type="dxa"/>
            <w:tcBorders>
              <w:top w:val="single" w:color="auto" w:sz="4" w:space="0"/>
              <w:left w:val="single" w:color="auto" w:sz="8" w:space="0"/>
              <w:bottom w:val="single" w:color="auto" w:sz="8" w:space="0"/>
              <w:right w:val="single" w:color="auto" w:sz="4" w:space="0"/>
            </w:tcBorders>
            <w:shd w:val="clear" w:color="auto" w:fill="auto"/>
            <w:vAlign w:val="center"/>
          </w:tcPr>
          <w:p w14:paraId="3292599E">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铅</w:t>
            </w:r>
          </w:p>
        </w:tc>
        <w:tc>
          <w:tcPr>
            <w:tcW w:w="1701" w:type="dxa"/>
            <w:tcBorders>
              <w:top w:val="single" w:color="auto" w:sz="4" w:space="0"/>
              <w:left w:val="single" w:color="auto" w:sz="4" w:space="0"/>
              <w:bottom w:val="single" w:color="auto" w:sz="8" w:space="0"/>
              <w:right w:val="single" w:color="auto" w:sz="4" w:space="0"/>
            </w:tcBorders>
            <w:shd w:val="clear" w:color="auto" w:fill="auto"/>
            <w:vAlign w:val="center"/>
          </w:tcPr>
          <w:p w14:paraId="35F77B57">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≤3</w:t>
            </w:r>
            <w:r>
              <w:rPr>
                <w:rFonts w:ascii="宋体" w:hAnsi="Times New Roman"/>
                <w:kern w:val="0"/>
                <w:sz w:val="18"/>
                <w:szCs w:val="20"/>
              </w:rPr>
              <w:t>00</w:t>
            </w:r>
          </w:p>
        </w:tc>
        <w:tc>
          <w:tcPr>
            <w:tcW w:w="1843" w:type="dxa"/>
            <w:tcBorders>
              <w:top w:val="single" w:color="auto" w:sz="4" w:space="0"/>
              <w:left w:val="single" w:color="auto" w:sz="4" w:space="0"/>
              <w:bottom w:val="single" w:color="auto" w:sz="8" w:space="0"/>
              <w:right w:val="single" w:color="auto" w:sz="4" w:space="0"/>
            </w:tcBorders>
            <w:shd w:val="clear" w:color="auto" w:fill="auto"/>
            <w:vAlign w:val="center"/>
          </w:tcPr>
          <w:p w14:paraId="22E3F829">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w:t>
            </w:r>
            <w:r>
              <w:rPr>
                <w:rFonts w:ascii="宋体" w:hAnsi="Times New Roman"/>
                <w:kern w:val="0"/>
                <w:sz w:val="18"/>
                <w:szCs w:val="20"/>
              </w:rPr>
              <w:t>100</w:t>
            </w:r>
          </w:p>
        </w:tc>
        <w:tc>
          <w:tcPr>
            <w:tcW w:w="3339" w:type="dxa"/>
            <w:tcBorders>
              <w:top w:val="single" w:color="auto" w:sz="4" w:space="0"/>
              <w:left w:val="single" w:color="auto" w:sz="4" w:space="0"/>
              <w:bottom w:val="single" w:color="auto" w:sz="8" w:space="0"/>
              <w:right w:val="single" w:color="auto" w:sz="8" w:space="0"/>
            </w:tcBorders>
            <w:shd w:val="clear" w:color="auto" w:fill="auto"/>
            <w:vAlign w:val="center"/>
          </w:tcPr>
          <w:p w14:paraId="7AF65438">
            <w:pPr>
              <w:widowControl/>
              <w:autoSpaceDE w:val="0"/>
              <w:autoSpaceDN w:val="0"/>
              <w:adjustRightInd/>
              <w:spacing w:line="240" w:lineRule="auto"/>
              <w:ind w:firstLine="360" w:firstLineChars="200"/>
              <w:rPr>
                <w:rFonts w:ascii="宋体" w:hAnsi="Times New Roman"/>
                <w:kern w:val="0"/>
                <w:sz w:val="18"/>
                <w:szCs w:val="20"/>
              </w:rPr>
            </w:pPr>
            <w:r>
              <w:rPr>
                <w:rFonts w:hint="eastAsia" w:ascii="宋体" w:hAnsi="Times New Roman"/>
                <w:kern w:val="0"/>
                <w:sz w:val="18"/>
                <w:szCs w:val="20"/>
              </w:rPr>
              <w:t>H</w:t>
            </w:r>
            <w:r>
              <w:rPr>
                <w:rFonts w:ascii="宋体" w:hAnsi="Times New Roman"/>
                <w:kern w:val="0"/>
                <w:sz w:val="18"/>
                <w:szCs w:val="20"/>
              </w:rPr>
              <w:t>J 766</w:t>
            </w:r>
            <w:r>
              <w:rPr>
                <w:rFonts w:hint="eastAsia" w:ascii="宋体" w:hAnsi="Times New Roman"/>
                <w:kern w:val="0"/>
                <w:sz w:val="18"/>
                <w:szCs w:val="20"/>
              </w:rPr>
              <w:t>、H</w:t>
            </w:r>
            <w:r>
              <w:rPr>
                <w:rFonts w:ascii="宋体" w:hAnsi="Times New Roman"/>
                <w:kern w:val="0"/>
                <w:sz w:val="18"/>
                <w:szCs w:val="20"/>
              </w:rPr>
              <w:t>J 781</w:t>
            </w:r>
            <w:r>
              <w:rPr>
                <w:rFonts w:hint="eastAsia" w:ascii="宋体" w:hAnsi="Times New Roman"/>
                <w:kern w:val="0"/>
                <w:sz w:val="18"/>
                <w:szCs w:val="20"/>
              </w:rPr>
              <w:t>、H</w:t>
            </w:r>
            <w:r>
              <w:rPr>
                <w:rFonts w:ascii="宋体" w:hAnsi="Times New Roman"/>
                <w:kern w:val="0"/>
                <w:sz w:val="18"/>
                <w:szCs w:val="20"/>
              </w:rPr>
              <w:t>J 786</w:t>
            </w:r>
            <w:r>
              <w:rPr>
                <w:rFonts w:hint="eastAsia" w:ascii="宋体" w:hAnsi="Times New Roman"/>
                <w:kern w:val="0"/>
                <w:sz w:val="18"/>
                <w:szCs w:val="20"/>
              </w:rPr>
              <w:t>、H</w:t>
            </w:r>
            <w:r>
              <w:rPr>
                <w:rFonts w:ascii="宋体" w:hAnsi="Times New Roman"/>
                <w:kern w:val="0"/>
                <w:sz w:val="18"/>
                <w:szCs w:val="20"/>
              </w:rPr>
              <w:t>J 787</w:t>
            </w:r>
          </w:p>
        </w:tc>
      </w:tr>
    </w:tbl>
    <w:p w14:paraId="540B8C8E">
      <w:pPr>
        <w:pStyle w:val="105"/>
        <w:spacing w:before="156" w:after="156"/>
      </w:pPr>
      <w:bookmarkStart w:id="71" w:name="_Toc163045588"/>
      <w:r>
        <w:t>蒸发盐</w:t>
      </w:r>
      <w:bookmarkEnd w:id="71"/>
    </w:p>
    <w:p w14:paraId="56AEE553">
      <w:pPr>
        <w:numPr>
          <w:ilvl w:val="3"/>
          <w:numId w:val="2"/>
        </w:numPr>
        <w:adjustRightInd/>
        <w:spacing w:line="240" w:lineRule="auto"/>
        <w:rPr>
          <w:rFonts w:ascii="宋体" w:hAnsi="Times New Roman"/>
          <w:kern w:val="0"/>
          <w:szCs w:val="20"/>
        </w:rPr>
      </w:pPr>
      <w:r>
        <w:rPr>
          <w:rFonts w:ascii="宋体" w:hAnsi="Times New Roman"/>
          <w:kern w:val="0"/>
          <w:szCs w:val="20"/>
        </w:rPr>
        <w:t>蒸发盐应根据其使用途径</w:t>
      </w:r>
      <w:r>
        <w:rPr>
          <w:rFonts w:hint="eastAsia" w:ascii="宋体" w:hAnsi="Times New Roman"/>
          <w:kern w:val="0"/>
          <w:szCs w:val="20"/>
        </w:rPr>
        <w:t>，</w:t>
      </w:r>
      <w:r>
        <w:rPr>
          <w:rFonts w:ascii="宋体" w:hAnsi="Times New Roman"/>
          <w:kern w:val="0"/>
          <w:szCs w:val="20"/>
        </w:rPr>
        <w:t>采取相应分级管控措施具体要求如下。</w:t>
      </w:r>
    </w:p>
    <w:p w14:paraId="3A968C25">
      <w:pPr>
        <w:pStyle w:val="174"/>
        <w:numPr>
          <w:ilvl w:val="0"/>
          <w:numId w:val="32"/>
        </w:numPr>
      </w:pPr>
      <w:r>
        <w:t>作为产品管理的，按照GB 34330、HJ 1091规定，应达到国家、地方制定或行业通行的产品质量标准要求，并符合国家相关污染控制标准或技术规范，包括该产物生产过程中排放到环境中的特征污染物含量标准和该产物中特征污染物的含量标准及本文件表2相关含量要求。</w:t>
      </w:r>
    </w:p>
    <w:p w14:paraId="40096033">
      <w:pPr>
        <w:pStyle w:val="174"/>
      </w:pPr>
      <w:r>
        <w:t>不满足a情形，采用"定向利用”的方式时，在满足管理要求的前提下，直接提供给使用其作为替代原辅料进行工业生产或污染治理的单位。未采用“定向利用”方式时，应按照HJ</w:t>
      </w:r>
      <w:r>
        <w:rPr>
          <w:rFonts w:hint="eastAsia"/>
        </w:rPr>
        <w:t xml:space="preserve"> </w:t>
      </w:r>
      <w:r>
        <w:t>1091相关要求开展环境风险定性及定量评价，在环境风险可接受的前提下确定蒸发盐使用行业及用途。</w:t>
      </w:r>
    </w:p>
    <w:p w14:paraId="60870CAE">
      <w:pPr>
        <w:numPr>
          <w:ilvl w:val="3"/>
          <w:numId w:val="2"/>
        </w:numPr>
        <w:adjustRightInd/>
        <w:spacing w:line="240" w:lineRule="auto"/>
        <w:rPr>
          <w:rFonts w:ascii="宋体" w:hAnsi="Times New Roman"/>
          <w:kern w:val="0"/>
          <w:szCs w:val="20"/>
        </w:rPr>
      </w:pPr>
      <w:r>
        <w:rPr>
          <w:rFonts w:ascii="宋体" w:hAnsi="Times New Roman"/>
          <w:kern w:val="0"/>
          <w:szCs w:val="20"/>
        </w:rPr>
        <w:t>应按照HJ</w:t>
      </w:r>
      <w:r>
        <w:rPr>
          <w:rFonts w:hint="eastAsia" w:ascii="宋体" w:hAnsi="Times New Roman"/>
          <w:kern w:val="0"/>
          <w:szCs w:val="20"/>
        </w:rPr>
        <w:t xml:space="preserve"> </w:t>
      </w:r>
      <w:r>
        <w:rPr>
          <w:rFonts w:ascii="宋体" w:hAnsi="Times New Roman"/>
          <w:kern w:val="0"/>
          <w:szCs w:val="20"/>
        </w:rPr>
        <w:t>1091规定的监测要求及频次，定期对蒸发盐中重金属含量进行检测，含量限值与检测方法按表2规定执行。</w:t>
      </w:r>
    </w:p>
    <w:p w14:paraId="7FBDA9BB">
      <w:pPr>
        <w:pStyle w:val="112"/>
        <w:spacing w:before="156" w:after="156"/>
      </w:pPr>
      <w:r>
        <w:rPr>
          <w:rFonts w:hint="eastAsia"/>
        </w:rPr>
        <w:t xml:space="preserve">蒸发盐中主要重金属含量要求 </w:t>
      </w:r>
      <w:r>
        <w:t xml:space="preserve">  </w:t>
      </w:r>
      <w:r>
        <w:rPr>
          <w:rFonts w:hint="eastAsia"/>
        </w:rPr>
        <w:t>单位：mg/kg</w:t>
      </w:r>
    </w:p>
    <w:tbl>
      <w:tblPr>
        <w:tblStyle w:val="26"/>
        <w:tblW w:w="5000" w:type="pct"/>
        <w:tblInd w:w="0" w:type="dxa"/>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095"/>
        <w:gridCol w:w="2523"/>
        <w:gridCol w:w="4952"/>
      </w:tblGrid>
      <w:tr w14:paraId="3F42FCA4">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12" w:space="0"/>
              <w:left w:val="single" w:color="auto" w:sz="12" w:space="0"/>
              <w:bottom w:val="single" w:color="auto" w:sz="12" w:space="0"/>
              <w:right w:val="single" w:color="auto" w:sz="4" w:space="0"/>
            </w:tcBorders>
            <w:vAlign w:val="center"/>
          </w:tcPr>
          <w:p w14:paraId="026C5C4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重金属指标</w:t>
            </w:r>
          </w:p>
        </w:tc>
        <w:tc>
          <w:tcPr>
            <w:tcW w:w="1318" w:type="pct"/>
            <w:tcBorders>
              <w:top w:val="single" w:color="auto" w:sz="12" w:space="0"/>
              <w:left w:val="single" w:color="auto" w:sz="4" w:space="0"/>
              <w:bottom w:val="single" w:color="auto" w:sz="12" w:space="0"/>
              <w:right w:val="single" w:color="auto" w:sz="4" w:space="0"/>
            </w:tcBorders>
            <w:vAlign w:val="center"/>
          </w:tcPr>
          <w:p w14:paraId="5E8F86A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含量要求</w:t>
            </w:r>
          </w:p>
        </w:tc>
        <w:tc>
          <w:tcPr>
            <w:tcW w:w="2587" w:type="pct"/>
            <w:tcBorders>
              <w:top w:val="single" w:color="auto" w:sz="12" w:space="0"/>
              <w:left w:val="single" w:color="auto" w:sz="12" w:space="0"/>
              <w:bottom w:val="single" w:color="auto" w:sz="12" w:space="0"/>
              <w:right w:val="single" w:color="auto" w:sz="12" w:space="0"/>
            </w:tcBorders>
            <w:vAlign w:val="center"/>
          </w:tcPr>
          <w:p w14:paraId="1181547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检测方法</w:t>
            </w:r>
          </w:p>
        </w:tc>
      </w:tr>
      <w:tr w14:paraId="1CA21718">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12" w:space="0"/>
              <w:left w:val="single" w:color="auto" w:sz="12" w:space="0"/>
              <w:bottom w:val="single" w:color="auto" w:sz="4" w:space="0"/>
              <w:right w:val="single" w:color="auto" w:sz="4" w:space="0"/>
            </w:tcBorders>
            <w:vAlign w:val="center"/>
          </w:tcPr>
          <w:p w14:paraId="0BD4734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铜</w:t>
            </w:r>
          </w:p>
        </w:tc>
        <w:tc>
          <w:tcPr>
            <w:tcW w:w="1318" w:type="pct"/>
            <w:tcBorders>
              <w:top w:val="single" w:color="auto" w:sz="12" w:space="0"/>
              <w:left w:val="single" w:color="auto" w:sz="4" w:space="0"/>
              <w:bottom w:val="single" w:color="auto" w:sz="4" w:space="0"/>
              <w:right w:val="single" w:color="auto" w:sz="4" w:space="0"/>
            </w:tcBorders>
            <w:vAlign w:val="center"/>
          </w:tcPr>
          <w:p w14:paraId="230C7D9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200</w:t>
            </w:r>
          </w:p>
        </w:tc>
        <w:tc>
          <w:tcPr>
            <w:tcW w:w="2587" w:type="pct"/>
            <w:tcBorders>
              <w:top w:val="single" w:color="auto" w:sz="12" w:space="0"/>
              <w:left w:val="single" w:color="auto" w:sz="4" w:space="0"/>
              <w:bottom w:val="single" w:color="auto" w:sz="4" w:space="0"/>
              <w:right w:val="single" w:color="auto" w:sz="12" w:space="0"/>
            </w:tcBorders>
            <w:vAlign w:val="center"/>
          </w:tcPr>
          <w:p w14:paraId="01C2436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751</w:t>
            </w:r>
            <w:r>
              <w:rPr>
                <w:rFonts w:hint="eastAsia" w:ascii="宋体" w:hAnsi="Times New Roman"/>
                <w:kern w:val="0"/>
                <w:szCs w:val="20"/>
              </w:rPr>
              <w:t>、H</w:t>
            </w:r>
            <w:r>
              <w:rPr>
                <w:rFonts w:ascii="宋体" w:hAnsi="Times New Roman"/>
                <w:kern w:val="0"/>
                <w:szCs w:val="20"/>
              </w:rPr>
              <w:t>J 752</w:t>
            </w:r>
            <w:r>
              <w:rPr>
                <w:rFonts w:hint="eastAsia" w:ascii="宋体" w:hAnsi="Times New Roman"/>
                <w:kern w:val="0"/>
                <w:szCs w:val="20"/>
              </w:rPr>
              <w:t>、H</w:t>
            </w:r>
            <w:r>
              <w:rPr>
                <w:rFonts w:ascii="宋体" w:hAnsi="Times New Roman"/>
                <w:kern w:val="0"/>
                <w:szCs w:val="20"/>
              </w:rPr>
              <w:t>J 766</w:t>
            </w:r>
            <w:r>
              <w:rPr>
                <w:rFonts w:hint="eastAsia" w:ascii="宋体" w:hAnsi="Times New Roman"/>
                <w:kern w:val="0"/>
                <w:szCs w:val="20"/>
              </w:rPr>
              <w:t>、H</w:t>
            </w:r>
            <w:r>
              <w:rPr>
                <w:rFonts w:ascii="宋体" w:hAnsi="Times New Roman"/>
                <w:kern w:val="0"/>
                <w:szCs w:val="20"/>
              </w:rPr>
              <w:t>J 781</w:t>
            </w:r>
          </w:p>
        </w:tc>
      </w:tr>
      <w:tr w14:paraId="18F989F1">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4" w:space="0"/>
              <w:left w:val="single" w:color="auto" w:sz="12" w:space="0"/>
              <w:bottom w:val="single" w:color="auto" w:sz="4" w:space="0"/>
              <w:right w:val="single" w:color="auto" w:sz="4" w:space="0"/>
            </w:tcBorders>
            <w:vAlign w:val="center"/>
          </w:tcPr>
          <w:p w14:paraId="56BF905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镍</w:t>
            </w:r>
          </w:p>
        </w:tc>
        <w:tc>
          <w:tcPr>
            <w:tcW w:w="1318" w:type="pct"/>
            <w:tcBorders>
              <w:top w:val="single" w:color="auto" w:sz="4" w:space="0"/>
              <w:left w:val="single" w:color="auto" w:sz="4" w:space="0"/>
              <w:bottom w:val="single" w:color="auto" w:sz="4" w:space="0"/>
              <w:right w:val="single" w:color="auto" w:sz="4" w:space="0"/>
            </w:tcBorders>
            <w:vAlign w:val="center"/>
          </w:tcPr>
          <w:p w14:paraId="5BDC4B7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200</w:t>
            </w:r>
          </w:p>
        </w:tc>
        <w:tc>
          <w:tcPr>
            <w:tcW w:w="2587" w:type="pct"/>
            <w:tcBorders>
              <w:top w:val="single" w:color="auto" w:sz="4" w:space="0"/>
              <w:left w:val="single" w:color="auto" w:sz="4" w:space="0"/>
              <w:bottom w:val="single" w:color="auto" w:sz="4" w:space="0"/>
              <w:right w:val="single" w:color="auto" w:sz="12" w:space="0"/>
            </w:tcBorders>
            <w:vAlign w:val="center"/>
          </w:tcPr>
          <w:p w14:paraId="75E13EC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751</w:t>
            </w:r>
            <w:r>
              <w:rPr>
                <w:rFonts w:hint="eastAsia" w:ascii="宋体" w:hAnsi="Times New Roman"/>
                <w:kern w:val="0"/>
                <w:szCs w:val="20"/>
              </w:rPr>
              <w:t>、H</w:t>
            </w:r>
            <w:r>
              <w:rPr>
                <w:rFonts w:ascii="宋体" w:hAnsi="Times New Roman"/>
                <w:kern w:val="0"/>
                <w:szCs w:val="20"/>
              </w:rPr>
              <w:t>J 752</w:t>
            </w:r>
            <w:r>
              <w:rPr>
                <w:rFonts w:hint="eastAsia" w:ascii="宋体" w:hAnsi="Times New Roman"/>
                <w:kern w:val="0"/>
                <w:szCs w:val="20"/>
              </w:rPr>
              <w:t>、H</w:t>
            </w:r>
            <w:r>
              <w:rPr>
                <w:rFonts w:ascii="宋体" w:hAnsi="Times New Roman"/>
                <w:kern w:val="0"/>
                <w:szCs w:val="20"/>
              </w:rPr>
              <w:t>J 766</w:t>
            </w:r>
            <w:r>
              <w:rPr>
                <w:rFonts w:hint="eastAsia" w:ascii="宋体" w:hAnsi="Times New Roman"/>
                <w:kern w:val="0"/>
                <w:szCs w:val="20"/>
              </w:rPr>
              <w:t>、H</w:t>
            </w:r>
            <w:r>
              <w:rPr>
                <w:rFonts w:ascii="宋体" w:hAnsi="Times New Roman"/>
                <w:kern w:val="0"/>
                <w:szCs w:val="20"/>
              </w:rPr>
              <w:t>J 781</w:t>
            </w:r>
          </w:p>
        </w:tc>
      </w:tr>
      <w:tr w14:paraId="60BB819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4" w:space="0"/>
              <w:left w:val="single" w:color="auto" w:sz="12" w:space="0"/>
              <w:bottom w:val="single" w:color="auto" w:sz="4" w:space="0"/>
              <w:right w:val="single" w:color="auto" w:sz="4" w:space="0"/>
            </w:tcBorders>
            <w:vAlign w:val="center"/>
          </w:tcPr>
          <w:p w14:paraId="495443D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镉</w:t>
            </w:r>
          </w:p>
        </w:tc>
        <w:tc>
          <w:tcPr>
            <w:tcW w:w="1318" w:type="pct"/>
            <w:tcBorders>
              <w:top w:val="single" w:color="auto" w:sz="4" w:space="0"/>
              <w:left w:val="single" w:color="auto" w:sz="4" w:space="0"/>
              <w:bottom w:val="single" w:color="auto" w:sz="4" w:space="0"/>
              <w:right w:val="single" w:color="auto" w:sz="4" w:space="0"/>
            </w:tcBorders>
            <w:vAlign w:val="center"/>
          </w:tcPr>
          <w:p w14:paraId="591CCC9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5</w:t>
            </w:r>
          </w:p>
        </w:tc>
        <w:tc>
          <w:tcPr>
            <w:tcW w:w="2587" w:type="pct"/>
            <w:tcBorders>
              <w:top w:val="single" w:color="auto" w:sz="4" w:space="0"/>
              <w:left w:val="single" w:color="auto" w:sz="4" w:space="0"/>
              <w:bottom w:val="single" w:color="auto" w:sz="4" w:space="0"/>
              <w:right w:val="single" w:color="auto" w:sz="12" w:space="0"/>
            </w:tcBorders>
            <w:vAlign w:val="center"/>
          </w:tcPr>
          <w:p w14:paraId="189DB08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766</w:t>
            </w:r>
            <w:r>
              <w:rPr>
                <w:rFonts w:hint="eastAsia" w:ascii="宋体" w:hAnsi="Times New Roman"/>
                <w:kern w:val="0"/>
                <w:szCs w:val="20"/>
              </w:rPr>
              <w:t>、H</w:t>
            </w:r>
            <w:r>
              <w:rPr>
                <w:rFonts w:ascii="宋体" w:hAnsi="Times New Roman"/>
                <w:kern w:val="0"/>
                <w:szCs w:val="20"/>
              </w:rPr>
              <w:t>J 781</w:t>
            </w:r>
            <w:r>
              <w:rPr>
                <w:rFonts w:hint="eastAsia" w:ascii="宋体" w:hAnsi="Times New Roman"/>
                <w:kern w:val="0"/>
                <w:szCs w:val="20"/>
              </w:rPr>
              <w:t>、H</w:t>
            </w:r>
            <w:r>
              <w:rPr>
                <w:rFonts w:ascii="宋体" w:hAnsi="Times New Roman"/>
                <w:kern w:val="0"/>
                <w:szCs w:val="20"/>
              </w:rPr>
              <w:t>J 786</w:t>
            </w:r>
            <w:r>
              <w:rPr>
                <w:rFonts w:hint="eastAsia" w:ascii="宋体" w:hAnsi="Times New Roman"/>
                <w:kern w:val="0"/>
                <w:szCs w:val="20"/>
              </w:rPr>
              <w:t>、H</w:t>
            </w:r>
            <w:r>
              <w:rPr>
                <w:rFonts w:ascii="宋体" w:hAnsi="Times New Roman"/>
                <w:kern w:val="0"/>
                <w:szCs w:val="20"/>
              </w:rPr>
              <w:t>J 787</w:t>
            </w:r>
          </w:p>
        </w:tc>
      </w:tr>
      <w:tr w14:paraId="71A3C497">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4" w:space="0"/>
              <w:left w:val="single" w:color="auto" w:sz="12" w:space="0"/>
              <w:bottom w:val="single" w:color="auto" w:sz="4" w:space="0"/>
              <w:right w:val="single" w:color="auto" w:sz="4" w:space="0"/>
            </w:tcBorders>
            <w:vAlign w:val="center"/>
          </w:tcPr>
          <w:p w14:paraId="332E073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铬</w:t>
            </w:r>
          </w:p>
        </w:tc>
        <w:tc>
          <w:tcPr>
            <w:tcW w:w="1318" w:type="pct"/>
            <w:tcBorders>
              <w:top w:val="single" w:color="auto" w:sz="4" w:space="0"/>
              <w:left w:val="single" w:color="auto" w:sz="4" w:space="0"/>
              <w:bottom w:val="single" w:color="auto" w:sz="4" w:space="0"/>
              <w:right w:val="single" w:color="auto" w:sz="4" w:space="0"/>
            </w:tcBorders>
            <w:vAlign w:val="center"/>
          </w:tcPr>
          <w:p w14:paraId="4C86C17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15</w:t>
            </w:r>
          </w:p>
        </w:tc>
        <w:tc>
          <w:tcPr>
            <w:tcW w:w="2587" w:type="pct"/>
            <w:tcBorders>
              <w:top w:val="single" w:color="auto" w:sz="4" w:space="0"/>
              <w:left w:val="single" w:color="auto" w:sz="4" w:space="0"/>
              <w:bottom w:val="single" w:color="auto" w:sz="4" w:space="0"/>
              <w:right w:val="single" w:color="auto" w:sz="12" w:space="0"/>
            </w:tcBorders>
            <w:vAlign w:val="center"/>
          </w:tcPr>
          <w:p w14:paraId="1092DCB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749</w:t>
            </w:r>
            <w:r>
              <w:rPr>
                <w:rFonts w:hint="eastAsia" w:ascii="宋体" w:hAnsi="Times New Roman"/>
                <w:kern w:val="0"/>
                <w:szCs w:val="20"/>
              </w:rPr>
              <w:t>、H</w:t>
            </w:r>
            <w:r>
              <w:rPr>
                <w:rFonts w:ascii="宋体" w:hAnsi="Times New Roman"/>
                <w:kern w:val="0"/>
                <w:szCs w:val="20"/>
              </w:rPr>
              <w:t>J 750</w:t>
            </w:r>
            <w:r>
              <w:rPr>
                <w:rFonts w:hint="eastAsia" w:ascii="宋体" w:hAnsi="Times New Roman"/>
                <w:kern w:val="0"/>
                <w:szCs w:val="20"/>
              </w:rPr>
              <w:t>、H</w:t>
            </w:r>
            <w:r>
              <w:rPr>
                <w:rFonts w:ascii="宋体" w:hAnsi="Times New Roman"/>
                <w:kern w:val="0"/>
                <w:szCs w:val="20"/>
              </w:rPr>
              <w:t>J 766</w:t>
            </w:r>
            <w:r>
              <w:rPr>
                <w:rFonts w:hint="eastAsia" w:ascii="宋体" w:hAnsi="Times New Roman"/>
                <w:kern w:val="0"/>
                <w:szCs w:val="20"/>
              </w:rPr>
              <w:t>、H</w:t>
            </w:r>
            <w:r>
              <w:rPr>
                <w:rFonts w:ascii="宋体" w:hAnsi="Times New Roman"/>
                <w:kern w:val="0"/>
                <w:szCs w:val="20"/>
              </w:rPr>
              <w:t>J 781</w:t>
            </w:r>
          </w:p>
        </w:tc>
      </w:tr>
      <w:tr w14:paraId="0E3BA010">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4" w:space="0"/>
              <w:left w:val="single" w:color="auto" w:sz="12" w:space="0"/>
              <w:bottom w:val="single" w:color="auto" w:sz="4" w:space="0"/>
              <w:right w:val="single" w:color="auto" w:sz="4" w:space="0"/>
            </w:tcBorders>
            <w:vAlign w:val="center"/>
          </w:tcPr>
          <w:p w14:paraId="22EA6F2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砷</w:t>
            </w:r>
          </w:p>
        </w:tc>
        <w:tc>
          <w:tcPr>
            <w:tcW w:w="1318" w:type="pct"/>
            <w:tcBorders>
              <w:top w:val="single" w:color="auto" w:sz="4" w:space="0"/>
              <w:left w:val="single" w:color="auto" w:sz="4" w:space="0"/>
              <w:bottom w:val="single" w:color="auto" w:sz="4" w:space="0"/>
              <w:right w:val="single" w:color="auto" w:sz="4" w:space="0"/>
            </w:tcBorders>
            <w:vAlign w:val="center"/>
          </w:tcPr>
          <w:p w14:paraId="29FAF19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5</w:t>
            </w:r>
          </w:p>
        </w:tc>
        <w:tc>
          <w:tcPr>
            <w:tcW w:w="2587" w:type="pct"/>
            <w:tcBorders>
              <w:top w:val="single" w:color="auto" w:sz="4" w:space="0"/>
              <w:left w:val="single" w:color="auto" w:sz="4" w:space="0"/>
              <w:bottom w:val="single" w:color="auto" w:sz="4" w:space="0"/>
              <w:right w:val="single" w:color="auto" w:sz="12" w:space="0"/>
            </w:tcBorders>
            <w:vAlign w:val="center"/>
          </w:tcPr>
          <w:p w14:paraId="0F0A4E1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702</w:t>
            </w:r>
            <w:r>
              <w:rPr>
                <w:rFonts w:hint="eastAsia" w:ascii="宋体" w:hAnsi="Times New Roman"/>
                <w:kern w:val="0"/>
                <w:szCs w:val="20"/>
              </w:rPr>
              <w:t>、H</w:t>
            </w:r>
            <w:r>
              <w:rPr>
                <w:rFonts w:ascii="宋体" w:hAnsi="Times New Roman"/>
                <w:kern w:val="0"/>
                <w:szCs w:val="20"/>
              </w:rPr>
              <w:t>J 766</w:t>
            </w:r>
          </w:p>
        </w:tc>
      </w:tr>
      <w:tr w14:paraId="0C295143">
        <w:tblPrEx>
          <w:tblBorders>
            <w:top w:val="single" w:color="auto" w:sz="12" w:space="0"/>
            <w:left w:val="none" w:color="auto" w:sz="0" w:space="0"/>
            <w:bottom w:val="single" w:color="auto" w:sz="12"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095" w:type="pct"/>
            <w:tcBorders>
              <w:top w:val="single" w:color="auto" w:sz="4" w:space="0"/>
              <w:left w:val="single" w:color="auto" w:sz="12" w:space="0"/>
              <w:bottom w:val="single" w:color="auto" w:sz="12" w:space="0"/>
              <w:right w:val="single" w:color="auto" w:sz="4" w:space="0"/>
            </w:tcBorders>
            <w:vAlign w:val="center"/>
          </w:tcPr>
          <w:p w14:paraId="5962144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铅</w:t>
            </w:r>
          </w:p>
        </w:tc>
        <w:tc>
          <w:tcPr>
            <w:tcW w:w="1318" w:type="pct"/>
            <w:tcBorders>
              <w:top w:val="single" w:color="auto" w:sz="4" w:space="0"/>
              <w:left w:val="single" w:color="auto" w:sz="4" w:space="0"/>
              <w:bottom w:val="single" w:color="auto" w:sz="12" w:space="0"/>
              <w:right w:val="single" w:color="auto" w:sz="4" w:space="0"/>
            </w:tcBorders>
            <w:vAlign w:val="center"/>
          </w:tcPr>
          <w:p w14:paraId="29A7155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25</w:t>
            </w:r>
          </w:p>
        </w:tc>
        <w:tc>
          <w:tcPr>
            <w:tcW w:w="2587" w:type="pct"/>
            <w:tcBorders>
              <w:top w:val="single" w:color="auto" w:sz="4" w:space="0"/>
              <w:left w:val="single" w:color="auto" w:sz="4" w:space="0"/>
              <w:bottom w:val="single" w:color="auto" w:sz="12" w:space="0"/>
              <w:right w:val="single" w:color="auto" w:sz="12" w:space="0"/>
            </w:tcBorders>
            <w:vAlign w:val="center"/>
          </w:tcPr>
          <w:p w14:paraId="38CC7F4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H</w:t>
            </w:r>
            <w:r>
              <w:rPr>
                <w:rFonts w:ascii="宋体" w:hAnsi="Times New Roman"/>
                <w:kern w:val="0"/>
                <w:szCs w:val="20"/>
              </w:rPr>
              <w:t>J 766</w:t>
            </w:r>
            <w:r>
              <w:rPr>
                <w:rFonts w:hint="eastAsia" w:ascii="宋体" w:hAnsi="Times New Roman"/>
                <w:kern w:val="0"/>
                <w:szCs w:val="20"/>
              </w:rPr>
              <w:t>、H</w:t>
            </w:r>
            <w:r>
              <w:rPr>
                <w:rFonts w:ascii="宋体" w:hAnsi="Times New Roman"/>
                <w:kern w:val="0"/>
                <w:szCs w:val="20"/>
              </w:rPr>
              <w:t>J 781</w:t>
            </w:r>
            <w:r>
              <w:rPr>
                <w:rFonts w:hint="eastAsia" w:ascii="宋体" w:hAnsi="Times New Roman"/>
                <w:kern w:val="0"/>
                <w:szCs w:val="20"/>
              </w:rPr>
              <w:t>、H</w:t>
            </w:r>
            <w:r>
              <w:rPr>
                <w:rFonts w:ascii="宋体" w:hAnsi="Times New Roman"/>
                <w:kern w:val="0"/>
                <w:szCs w:val="20"/>
              </w:rPr>
              <w:t>J 786</w:t>
            </w:r>
            <w:r>
              <w:rPr>
                <w:rFonts w:hint="eastAsia" w:ascii="宋体" w:hAnsi="Times New Roman"/>
                <w:kern w:val="0"/>
                <w:szCs w:val="20"/>
              </w:rPr>
              <w:t>、H</w:t>
            </w:r>
            <w:r>
              <w:rPr>
                <w:rFonts w:ascii="宋体" w:hAnsi="Times New Roman"/>
                <w:kern w:val="0"/>
                <w:szCs w:val="20"/>
              </w:rPr>
              <w:t>J 787</w:t>
            </w:r>
          </w:p>
        </w:tc>
      </w:tr>
    </w:tbl>
    <w:p w14:paraId="0B856E88">
      <w:pPr>
        <w:pStyle w:val="105"/>
        <w:spacing w:before="156" w:after="156"/>
      </w:pPr>
      <w:bookmarkStart w:id="72" w:name="_Toc163045589"/>
      <w:r>
        <w:t>其他产物</w:t>
      </w:r>
      <w:bookmarkEnd w:id="72"/>
    </w:p>
    <w:p w14:paraId="58822276">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其他产物应根据其使用途径，采取相应分级管控措施，具体要求如下。</w:t>
      </w:r>
    </w:p>
    <w:p w14:paraId="4C63C386">
      <w:pPr>
        <w:pStyle w:val="174"/>
        <w:numPr>
          <w:ilvl w:val="0"/>
          <w:numId w:val="33"/>
        </w:numPr>
      </w:pPr>
      <w:r>
        <w:t>作为水处理用聚合氯化铝管理的，应符合GB 34330、HJ 1091规定，满足GB/T 22627、GB/T 4482、HG/T</w:t>
      </w:r>
      <w:r>
        <w:rPr>
          <w:rFonts w:hint="eastAsia"/>
        </w:rPr>
        <w:t xml:space="preserve"> </w:t>
      </w:r>
      <w:r>
        <w:t>4538等产品质量标准要求，采用</w:t>
      </w:r>
      <w:r>
        <w:rPr>
          <w:rFonts w:hint="eastAsia"/>
        </w:rPr>
        <w:t>“</w:t>
      </w:r>
      <w:r>
        <w:t>定向利用</w:t>
      </w:r>
      <w:r>
        <w:rPr>
          <w:rFonts w:hint="eastAsia"/>
        </w:rPr>
        <w:t>”</w:t>
      </w:r>
      <w:r>
        <w:t>的方式直接提供给使用其进行工业废水处理的企业，铜、镍含量不得高于相应企业的废水排放标准限值。</w:t>
      </w:r>
    </w:p>
    <w:p w14:paraId="348F6803">
      <w:pPr>
        <w:pStyle w:val="174"/>
      </w:pPr>
      <w:r>
        <w:t>作为再生蚀刻液管理的，宜采用“再生回用”的方式，在满足管理要求的前提下，提供给含铜蚀刻废液产生企业。</w:t>
      </w:r>
    </w:p>
    <w:p w14:paraId="56530F8F">
      <w:pPr>
        <w:pStyle w:val="174"/>
      </w:pPr>
      <w:r>
        <w:t>在不满足a)</w:t>
      </w:r>
      <w:r>
        <w:rPr>
          <w:rFonts w:hint="eastAsia"/>
        </w:rPr>
        <w:t>、</w:t>
      </w:r>
      <w:r>
        <w:t>b)情形时，应按照HJ</w:t>
      </w:r>
      <w:r>
        <w:rPr>
          <w:rFonts w:hint="eastAsia"/>
        </w:rPr>
        <w:t xml:space="preserve"> </w:t>
      </w:r>
      <w:r>
        <w:t>1091相关要求开展环境风险定性及定量评价，在环境风险可接受的前提下确定综合利用产物的使用行业及用途。</w:t>
      </w:r>
    </w:p>
    <w:p w14:paraId="3FBBBD9B">
      <w:pPr>
        <w:pStyle w:val="104"/>
        <w:spacing w:before="312" w:after="312"/>
      </w:pPr>
      <w:bookmarkStart w:id="73" w:name="_Toc161999350"/>
      <w:bookmarkEnd w:id="73"/>
      <w:bookmarkStart w:id="74" w:name="_Toc163045590"/>
      <w:r>
        <w:t>运行管理</w:t>
      </w:r>
      <w:bookmarkEnd w:id="74"/>
    </w:p>
    <w:p w14:paraId="4C727E8F">
      <w:pPr>
        <w:pStyle w:val="105"/>
        <w:spacing w:before="156" w:after="156"/>
      </w:pPr>
      <w:bookmarkStart w:id="75" w:name="_Toc163045591"/>
      <w:r>
        <w:t>一般要求</w:t>
      </w:r>
      <w:bookmarkEnd w:id="75"/>
    </w:p>
    <w:p w14:paraId="49168E93">
      <w:pPr>
        <w:numPr>
          <w:ilvl w:val="3"/>
          <w:numId w:val="2"/>
        </w:numPr>
        <w:adjustRightInd/>
        <w:spacing w:line="240" w:lineRule="auto"/>
        <w:rPr>
          <w:rFonts w:ascii="宋体" w:hAnsi="Times New Roman"/>
          <w:kern w:val="0"/>
          <w:szCs w:val="20"/>
        </w:rPr>
      </w:pPr>
      <w:r>
        <w:rPr>
          <w:rFonts w:ascii="宋体" w:hAnsi="Times New Roman"/>
          <w:kern w:val="0"/>
          <w:szCs w:val="20"/>
        </w:rPr>
        <w:t>应具有完备的保障含铜蚀刻废液综合利用活动的规章制度和劳动保护措施，具备入厂含铜蚀刻废液铜、镍、镉、铬、铅、砷等重金属的检测能力，建立规范的管理和技术人员培训制度，并定期开展相关培训。</w:t>
      </w:r>
    </w:p>
    <w:p w14:paraId="0D906DFD">
      <w:pPr>
        <w:numPr>
          <w:ilvl w:val="3"/>
          <w:numId w:val="2"/>
        </w:numPr>
        <w:adjustRightInd/>
        <w:spacing w:line="240" w:lineRule="auto"/>
        <w:rPr>
          <w:rFonts w:ascii="宋体" w:hAnsi="Times New Roman"/>
          <w:kern w:val="0"/>
          <w:szCs w:val="20"/>
        </w:rPr>
      </w:pPr>
      <w:r>
        <w:rPr>
          <w:rFonts w:ascii="宋体" w:hAnsi="Times New Roman"/>
          <w:kern w:val="0"/>
          <w:szCs w:val="20"/>
        </w:rPr>
        <w:t>应建立健全含铜蚀刻废液综合利用情况记录簿，如实记载含铜蚀刻废液的种类、数量</w:t>
      </w:r>
      <w:r>
        <w:rPr>
          <w:rFonts w:hint="eastAsia" w:ascii="宋体" w:hAnsi="Times New Roman"/>
          <w:kern w:val="0"/>
          <w:szCs w:val="20"/>
        </w:rPr>
        <w:t>、</w:t>
      </w:r>
      <w:r>
        <w:rPr>
          <w:rFonts w:ascii="宋体" w:hAnsi="Times New Roman"/>
          <w:kern w:val="0"/>
          <w:szCs w:val="20"/>
        </w:rPr>
        <w:t>性质、产生环节、流向、</w:t>
      </w:r>
      <w:r>
        <w:rPr>
          <w:rFonts w:hint="eastAsia" w:ascii="宋体" w:hAnsi="Times New Roman"/>
          <w:kern w:val="0"/>
          <w:szCs w:val="20"/>
        </w:rPr>
        <w:t>入</w:t>
      </w:r>
      <w:r>
        <w:rPr>
          <w:rFonts w:ascii="宋体" w:hAnsi="Times New Roman"/>
          <w:kern w:val="0"/>
          <w:szCs w:val="20"/>
        </w:rPr>
        <w:t>/出库日期、贮存容器、综合利用工艺、综合利用产物等信息，并在省级危险废物管理信息系统中进行如实规范申报，申报数据应与记录簿</w:t>
      </w:r>
      <w:r>
        <w:rPr>
          <w:rFonts w:hint="eastAsia" w:ascii="宋体" w:hAnsi="Times New Roman"/>
          <w:kern w:val="0"/>
          <w:szCs w:val="20"/>
        </w:rPr>
        <w:t>﹑管理计划数据相一致。</w:t>
      </w:r>
    </w:p>
    <w:p w14:paraId="7310D2B3">
      <w:pPr>
        <w:numPr>
          <w:ilvl w:val="3"/>
          <w:numId w:val="2"/>
        </w:numPr>
        <w:adjustRightInd/>
        <w:spacing w:line="240" w:lineRule="auto"/>
        <w:rPr>
          <w:rFonts w:ascii="宋体" w:hAnsi="Times New Roman"/>
          <w:kern w:val="0"/>
          <w:szCs w:val="20"/>
        </w:rPr>
      </w:pPr>
      <w:r>
        <w:rPr>
          <w:rFonts w:ascii="宋体" w:hAnsi="Times New Roman"/>
          <w:kern w:val="0"/>
          <w:szCs w:val="20"/>
        </w:rPr>
        <w:t>应建设含铜蚀刻废液综合利用全流程智能管理平台，在含铜蚀刻废液入厂、贮存、利用等关键环节安装视频监控设备，视频监控录像保存不少于3个月。</w:t>
      </w:r>
    </w:p>
    <w:p w14:paraId="187B820B">
      <w:pPr>
        <w:numPr>
          <w:ilvl w:val="3"/>
          <w:numId w:val="2"/>
        </w:numPr>
        <w:adjustRightInd/>
        <w:spacing w:line="240" w:lineRule="auto"/>
        <w:rPr>
          <w:rFonts w:ascii="宋体" w:hAnsi="Times New Roman"/>
          <w:kern w:val="0"/>
          <w:szCs w:val="20"/>
        </w:rPr>
      </w:pPr>
      <w:r>
        <w:rPr>
          <w:rFonts w:ascii="宋体" w:hAnsi="Times New Roman"/>
          <w:kern w:val="0"/>
          <w:szCs w:val="20"/>
        </w:rPr>
        <w:t>应按要求制定应急预案，并定期开展应急演练，每年不少于1次。</w:t>
      </w:r>
    </w:p>
    <w:p w14:paraId="54C82FE9">
      <w:pPr>
        <w:numPr>
          <w:ilvl w:val="3"/>
          <w:numId w:val="2"/>
        </w:numPr>
        <w:adjustRightInd/>
        <w:spacing w:line="240" w:lineRule="auto"/>
        <w:rPr>
          <w:rFonts w:ascii="宋体" w:hAnsi="Times New Roman"/>
          <w:kern w:val="0"/>
          <w:szCs w:val="20"/>
        </w:rPr>
      </w:pPr>
      <w:r>
        <w:rPr>
          <w:rFonts w:ascii="宋体" w:hAnsi="Times New Roman"/>
          <w:kern w:val="0"/>
          <w:szCs w:val="20"/>
        </w:rPr>
        <w:t>属于重点监管单位的企业应按要求开展土壤污染隐患排查工作</w:t>
      </w:r>
      <w:r>
        <w:rPr>
          <w:rFonts w:hint="eastAsia" w:ascii="宋体" w:hAnsi="Times New Roman"/>
          <w:kern w:val="0"/>
          <w:szCs w:val="20"/>
          <w:lang w:eastAsia="zh-CN"/>
        </w:rPr>
        <w:t>。</w:t>
      </w:r>
    </w:p>
    <w:p w14:paraId="0B2192A8">
      <w:pPr>
        <w:pStyle w:val="105"/>
        <w:spacing w:before="156" w:after="156"/>
      </w:pPr>
      <w:bookmarkStart w:id="76" w:name="_Toc163045592"/>
      <w:r>
        <w:t>监测及评估</w:t>
      </w:r>
      <w:bookmarkEnd w:id="76"/>
    </w:p>
    <w:p w14:paraId="3CBFA3CE">
      <w:pPr>
        <w:numPr>
          <w:ilvl w:val="3"/>
          <w:numId w:val="2"/>
        </w:numPr>
        <w:adjustRightInd/>
        <w:spacing w:line="240" w:lineRule="auto"/>
        <w:rPr>
          <w:rFonts w:ascii="宋体" w:hAnsi="Times New Roman"/>
          <w:kern w:val="0"/>
          <w:szCs w:val="20"/>
        </w:rPr>
      </w:pPr>
      <w:r>
        <w:rPr>
          <w:rFonts w:ascii="宋体" w:hAnsi="Times New Roman"/>
          <w:kern w:val="0"/>
          <w:szCs w:val="20"/>
        </w:rPr>
        <w:t>应按照HJ</w:t>
      </w:r>
      <w:r>
        <w:rPr>
          <w:rFonts w:hint="eastAsia" w:ascii="宋体" w:hAnsi="Times New Roman"/>
          <w:kern w:val="0"/>
          <w:szCs w:val="20"/>
        </w:rPr>
        <w:t xml:space="preserve"> </w:t>
      </w:r>
      <w:r>
        <w:rPr>
          <w:rFonts w:ascii="宋体" w:hAnsi="Times New Roman"/>
          <w:kern w:val="0"/>
          <w:szCs w:val="20"/>
        </w:rPr>
        <w:t>819、HJ 1200中监测指标</w:t>
      </w:r>
      <w:r>
        <w:rPr>
          <w:rFonts w:hint="eastAsia" w:ascii="宋体" w:hAnsi="Times New Roman"/>
          <w:kern w:val="0"/>
          <w:szCs w:val="20"/>
        </w:rPr>
        <w:t>﹑监测频次等要求编制自行监测方案</w:t>
      </w:r>
      <w:r>
        <w:rPr>
          <w:rFonts w:ascii="宋体" w:hAnsi="Times New Roman"/>
          <w:kern w:val="0"/>
          <w:szCs w:val="20"/>
        </w:rPr>
        <w:t>，并开展自行监测。废水总排放口应开展流量，pH值、化学需氧量</w:t>
      </w:r>
      <w:r>
        <w:rPr>
          <w:rFonts w:hint="eastAsia" w:ascii="宋体" w:hAnsi="Times New Roman"/>
          <w:kern w:val="0"/>
          <w:szCs w:val="20"/>
        </w:rPr>
        <w:t>﹑氨氮自动监测并与生态环境管理部门联网</w:t>
      </w:r>
      <w:r>
        <w:rPr>
          <w:rFonts w:ascii="宋体" w:hAnsi="Times New Roman"/>
          <w:kern w:val="0"/>
          <w:szCs w:val="20"/>
        </w:rPr>
        <w:t>，每季度至少开展1次总磷</w:t>
      </w:r>
      <w:r>
        <w:rPr>
          <w:rFonts w:hint="eastAsia" w:ascii="宋体" w:hAnsi="Times New Roman"/>
          <w:kern w:val="0"/>
          <w:szCs w:val="20"/>
        </w:rPr>
        <w:t>、</w:t>
      </w:r>
      <w:r>
        <w:rPr>
          <w:rFonts w:ascii="宋体" w:hAnsi="Times New Roman"/>
          <w:kern w:val="0"/>
          <w:szCs w:val="20"/>
        </w:rPr>
        <w:t>总氮</w:t>
      </w:r>
      <w:r>
        <w:rPr>
          <w:rFonts w:hint="eastAsia" w:ascii="宋体" w:hAnsi="Times New Roman"/>
          <w:kern w:val="0"/>
          <w:szCs w:val="20"/>
        </w:rPr>
        <w:t>、</w:t>
      </w:r>
      <w:r>
        <w:rPr>
          <w:rFonts w:ascii="宋体" w:hAnsi="Times New Roman"/>
          <w:kern w:val="0"/>
          <w:szCs w:val="20"/>
        </w:rPr>
        <w:t>悬浮物</w:t>
      </w:r>
      <w:r>
        <w:rPr>
          <w:rFonts w:hint="eastAsia" w:ascii="宋体" w:hAnsi="Times New Roman"/>
          <w:kern w:val="0"/>
          <w:szCs w:val="20"/>
        </w:rPr>
        <w:t>、</w:t>
      </w:r>
      <w:r>
        <w:rPr>
          <w:rFonts w:ascii="宋体" w:hAnsi="Times New Roman"/>
          <w:kern w:val="0"/>
          <w:szCs w:val="20"/>
        </w:rPr>
        <w:t>铜、镍、镉、铬、铅、砷等污染物监测</w:t>
      </w:r>
      <w:r>
        <w:rPr>
          <w:rFonts w:hint="eastAsia" w:ascii="宋体" w:hAnsi="Times New Roman"/>
          <w:kern w:val="0"/>
          <w:szCs w:val="20"/>
        </w:rPr>
        <w:t>，</w:t>
      </w:r>
      <w:r>
        <w:rPr>
          <w:rFonts w:ascii="宋体" w:hAnsi="Times New Roman"/>
          <w:kern w:val="0"/>
          <w:szCs w:val="20"/>
        </w:rPr>
        <w:t>监测数据保存10年以上。</w:t>
      </w:r>
    </w:p>
    <w:p w14:paraId="1259AFD8">
      <w:pPr>
        <w:numPr>
          <w:ilvl w:val="3"/>
          <w:numId w:val="2"/>
        </w:numPr>
        <w:adjustRightInd/>
        <w:spacing w:line="240" w:lineRule="auto"/>
        <w:rPr>
          <w:rFonts w:ascii="宋体" w:hAnsi="Times New Roman"/>
          <w:kern w:val="0"/>
          <w:szCs w:val="20"/>
        </w:rPr>
      </w:pPr>
      <w:r>
        <w:rPr>
          <w:rFonts w:ascii="宋体" w:hAnsi="Times New Roman"/>
          <w:kern w:val="0"/>
          <w:szCs w:val="20"/>
        </w:rPr>
        <w:t>应定期对场址和设施周边的大气、地表水、地下水和土壤进行采样监测，以判断含铜蚀刻废液综合利用过程是否对大气、地表水、地下水和土壤造成二次污染。</w:t>
      </w:r>
    </w:p>
    <w:p w14:paraId="04BC69C1">
      <w:pPr>
        <w:pStyle w:val="105"/>
        <w:spacing w:before="156" w:after="156"/>
      </w:pPr>
      <w:bookmarkStart w:id="77" w:name="_Toc163045593"/>
      <w:r>
        <w:t>信息公开</w:t>
      </w:r>
      <w:bookmarkEnd w:id="77"/>
    </w:p>
    <w:p w14:paraId="1EE9F1E0">
      <w:pPr>
        <w:numPr>
          <w:ilvl w:val="3"/>
          <w:numId w:val="2"/>
        </w:numPr>
        <w:adjustRightInd/>
        <w:spacing w:line="240" w:lineRule="auto"/>
        <w:rPr>
          <w:rFonts w:ascii="宋体" w:hAnsi="Times New Roman"/>
          <w:kern w:val="0"/>
          <w:szCs w:val="20"/>
        </w:rPr>
      </w:pPr>
      <w:r>
        <w:rPr>
          <w:rFonts w:ascii="宋体" w:hAnsi="Times New Roman"/>
          <w:kern w:val="0"/>
          <w:szCs w:val="20"/>
        </w:rPr>
        <w:t>应在官方网站或其他便于公众查阅的媒体上，按季度公开综合利用产物相关信息，包括执行的产品质量标准及污染控制标准、主要重金属含量、综合利用产物流向等，按年度公开使用9.2、9.3</w:t>
      </w:r>
      <w:r>
        <w:rPr>
          <w:rFonts w:hint="eastAsia" w:ascii="宋体" w:hAnsi="Times New Roman"/>
          <w:kern w:val="0"/>
          <w:szCs w:val="20"/>
        </w:rPr>
        <w:t>、</w:t>
      </w:r>
      <w:r>
        <w:rPr>
          <w:rFonts w:ascii="宋体" w:hAnsi="Times New Roman"/>
          <w:kern w:val="0"/>
          <w:szCs w:val="20"/>
        </w:rPr>
        <w:t>9.4中综合利用产物的企业相关信息，包括综合利用产物的来源、接收量、使用量、贮存量、使用方式等。</w:t>
      </w:r>
    </w:p>
    <w:p w14:paraId="46830B11">
      <w:pPr>
        <w:numPr>
          <w:ilvl w:val="3"/>
          <w:numId w:val="2"/>
        </w:numPr>
        <w:adjustRightInd/>
        <w:spacing w:line="240" w:lineRule="auto"/>
        <w:rPr>
          <w:rFonts w:ascii="宋体" w:hAnsi="Times New Roman"/>
          <w:kern w:val="0"/>
          <w:szCs w:val="20"/>
        </w:rPr>
      </w:pPr>
      <w:r>
        <w:rPr>
          <w:rFonts w:ascii="宋体" w:hAnsi="Times New Roman"/>
          <w:kern w:val="0"/>
          <w:szCs w:val="20"/>
        </w:rPr>
        <w:t>每季度应在厂区对外公布的信息栏或官方网站公开监测结果等相关信息。</w:t>
      </w:r>
    </w:p>
    <w:p w14:paraId="6FB289CD">
      <w:pPr>
        <w:numPr>
          <w:ilvl w:val="3"/>
          <w:numId w:val="2"/>
        </w:numPr>
        <w:adjustRightInd/>
        <w:spacing w:line="240" w:lineRule="auto"/>
        <w:rPr>
          <w:rFonts w:ascii="宋体" w:hAnsi="Times New Roman"/>
          <w:kern w:val="0"/>
          <w:szCs w:val="20"/>
        </w:rPr>
      </w:pPr>
      <w:r>
        <w:rPr>
          <w:rFonts w:ascii="宋体" w:hAnsi="Times New Roman"/>
          <w:kern w:val="0"/>
          <w:szCs w:val="20"/>
        </w:rPr>
        <w:t>每年应定期向社会发布企业年度环境报告。</w:t>
      </w:r>
    </w:p>
    <w:p w14:paraId="603BE27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 </w:t>
      </w:r>
    </w:p>
    <w:p w14:paraId="1CB6C17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br w:type="page"/>
      </w:r>
    </w:p>
    <w:p w14:paraId="2176F4E7">
      <w:pPr>
        <w:pStyle w:val="56"/>
        <w:ind w:firstLine="420"/>
        <w:sectPr>
          <w:pgSz w:w="11906" w:h="16838"/>
          <w:pgMar w:top="1928" w:right="1134" w:bottom="1134" w:left="1134" w:header="1418" w:footer="1134" w:gutter="284"/>
          <w:pgNumType w:start="1"/>
          <w:cols w:space="425" w:num="1"/>
          <w:formProt w:val="0"/>
          <w:docGrid w:type="lines" w:linePitch="312" w:charSpace="0"/>
        </w:sectPr>
      </w:pPr>
      <w:bookmarkStart w:id="78" w:name="_Toc161999352"/>
      <w:bookmarkEnd w:id="78"/>
      <w:bookmarkStart w:id="79" w:name="_Toc161999351"/>
      <w:bookmarkEnd w:id="79"/>
    </w:p>
    <w:bookmarkEnd w:id="24"/>
    <w:p w14:paraId="6128BF76">
      <w:pPr>
        <w:pStyle w:val="198"/>
        <w:rPr>
          <w:vanish w:val="0"/>
        </w:rPr>
      </w:pPr>
      <w:bookmarkStart w:id="80" w:name="BookMark5"/>
    </w:p>
    <w:p w14:paraId="54C88564">
      <w:pPr>
        <w:pStyle w:val="199"/>
        <w:rPr>
          <w:vanish w:val="0"/>
        </w:rPr>
      </w:pPr>
    </w:p>
    <w:p w14:paraId="0ACA09C5">
      <w:pPr>
        <w:pStyle w:val="76"/>
        <w:spacing w:after="156"/>
      </w:pPr>
      <w:r>
        <w:br w:type="textWrapping"/>
      </w:r>
      <w:bookmarkStart w:id="81" w:name="_Toc163045594"/>
      <w:r>
        <w:rPr>
          <w:rFonts w:hint="eastAsia"/>
        </w:rPr>
        <w:t>（资料性）</w:t>
      </w:r>
      <w:r>
        <w:br w:type="textWrapping"/>
      </w:r>
      <w:r>
        <w:rPr>
          <w:rFonts w:hint="eastAsia"/>
        </w:rPr>
        <w:t>典型铜系产品合成工艺</w:t>
      </w:r>
      <w:bookmarkEnd w:id="81"/>
    </w:p>
    <w:p w14:paraId="2BDE9F64">
      <w:pPr>
        <w:pStyle w:val="56"/>
        <w:ind w:firstLine="420"/>
      </w:pPr>
    </w:p>
    <w:p w14:paraId="1B1F2F7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A</w:t>
      </w:r>
      <w:r>
        <w:rPr>
          <w:rFonts w:ascii="宋体" w:hAnsi="Times New Roman"/>
          <w:kern w:val="0"/>
          <w:szCs w:val="20"/>
        </w:rPr>
        <w:t xml:space="preserve">.1 </w:t>
      </w:r>
      <w:r>
        <w:rPr>
          <w:rFonts w:hint="eastAsia" w:ascii="宋体" w:hAnsi="Times New Roman"/>
          <w:kern w:val="0"/>
          <w:szCs w:val="20"/>
        </w:rPr>
        <w:t>碱式氯化铜</w:t>
      </w:r>
    </w:p>
    <w:p w14:paraId="2AD83C3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w:t>
      </w:r>
      <w:r>
        <w:rPr>
          <w:rFonts w:ascii="宋体" w:hAnsi="Times New Roman"/>
          <w:kern w:val="0"/>
          <w:szCs w:val="20"/>
        </w:rPr>
        <w:t xml:space="preserve">.1 </w:t>
      </w:r>
      <w:r>
        <w:rPr>
          <w:rFonts w:hint="eastAsia" w:ascii="宋体" w:hAnsi="Times New Roman"/>
          <w:kern w:val="0"/>
          <w:szCs w:val="20"/>
        </w:rPr>
        <w:t>原理</w:t>
      </w:r>
    </w:p>
    <w:p w14:paraId="79D67A6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对含铜蚀刻废液进行除杂后混合</w:t>
      </w:r>
      <w:r>
        <w:rPr>
          <w:rFonts w:ascii="宋体" w:hAnsi="Times New Roman"/>
          <w:kern w:val="0"/>
          <w:szCs w:val="20"/>
        </w:rPr>
        <w:t>，发生中和反应得到碱式氯化铜。其化学反应方程式如下：</w:t>
      </w:r>
    </w:p>
    <w:p w14:paraId="76BAEE00">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[Cu(NH3)4]Cl2+3CuCl2+2NH3·H2O+4H2O →2Cu2(OH)3Cl↓+6NH4Cl</w:t>
      </w:r>
    </w:p>
    <w:p w14:paraId="2F52C779">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1.2 </w:t>
      </w:r>
      <w:r>
        <w:rPr>
          <w:rFonts w:hint="eastAsia" w:ascii="宋体" w:hAnsi="Times New Roman"/>
          <w:kern w:val="0"/>
          <w:szCs w:val="20"/>
        </w:rPr>
        <w:t>工艺流程</w:t>
      </w:r>
    </w:p>
    <w:p w14:paraId="543C8B4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w:t>
      </w:r>
      <w:r>
        <w:rPr>
          <w:rFonts w:ascii="宋体" w:hAnsi="Times New Roman"/>
          <w:kern w:val="0"/>
          <w:szCs w:val="20"/>
        </w:rPr>
        <w:t xml:space="preserve">.2.1 </w:t>
      </w:r>
      <w:r>
        <w:rPr>
          <w:rFonts w:hint="eastAsia" w:ascii="宋体" w:hAnsi="Times New Roman"/>
          <w:kern w:val="0"/>
          <w:szCs w:val="20"/>
        </w:rPr>
        <w:t>原料预处理工艺流程</w:t>
      </w:r>
    </w:p>
    <w:p w14:paraId="76AE110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碱性蚀刻废液或酸性蚀刻废液与除杂剂按照比例由原料储槽进入反应釜</w:t>
      </w:r>
      <w:r>
        <w:rPr>
          <w:rFonts w:ascii="宋体" w:hAnsi="Times New Roman"/>
          <w:kern w:val="0"/>
          <w:szCs w:val="20"/>
        </w:rPr>
        <w:t>，除去重金属等有害杂质，</w:t>
      </w:r>
      <w:r>
        <w:rPr>
          <w:rFonts w:hint="eastAsia" w:ascii="宋体" w:hAnsi="Times New Roman"/>
          <w:kern w:val="0"/>
          <w:szCs w:val="20"/>
        </w:rPr>
        <w:t>沉降、过滤后滤渣按照相关要求处理后安全填埋</w:t>
      </w:r>
      <w:r>
        <w:rPr>
          <w:rFonts w:ascii="宋体" w:hAnsi="Times New Roman"/>
          <w:kern w:val="0"/>
          <w:szCs w:val="20"/>
        </w:rPr>
        <w:t>；过滤后滤液为碱性预处理后溶液或酸性预处理后溶</w:t>
      </w:r>
      <w:r>
        <w:rPr>
          <w:rFonts w:hint="eastAsia" w:ascii="宋体" w:hAnsi="Times New Roman"/>
          <w:kern w:val="0"/>
          <w:szCs w:val="20"/>
        </w:rPr>
        <w:t>液</w:t>
      </w:r>
      <w:r>
        <w:rPr>
          <w:rFonts w:ascii="宋体" w:hAnsi="Times New Roman"/>
          <w:kern w:val="0"/>
          <w:szCs w:val="20"/>
        </w:rPr>
        <w:t>，进入预处理后溶液储槽或者直接进入碱式氯化铜合成工艺。预处理工艺流程图见图1、图2。</w:t>
      </w:r>
    </w:p>
    <w:p w14:paraId="479666A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5277485" cy="1541145"/>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77485" cy="1541145"/>
                    </a:xfrm>
                    <a:prstGeom prst="rect">
                      <a:avLst/>
                    </a:prstGeom>
                    <a:noFill/>
                    <a:ln>
                      <a:noFill/>
                    </a:ln>
                  </pic:spPr>
                </pic:pic>
              </a:graphicData>
            </a:graphic>
          </wp:inline>
        </w:drawing>
      </w:r>
    </w:p>
    <w:p w14:paraId="45261ADF">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图</w:t>
      </w:r>
      <w:r>
        <w:rPr>
          <w:rFonts w:ascii="宋体" w:hAnsi="Times New Roman"/>
          <w:b/>
          <w:bCs/>
          <w:kern w:val="0"/>
          <w:szCs w:val="20"/>
        </w:rPr>
        <w:t xml:space="preserve">1 </w:t>
      </w:r>
      <w:r>
        <w:rPr>
          <w:rFonts w:hint="eastAsia" w:ascii="宋体" w:hAnsi="Times New Roman"/>
          <w:b/>
          <w:bCs/>
          <w:kern w:val="0"/>
          <w:szCs w:val="20"/>
        </w:rPr>
        <w:t>碱性蚀刻废液预处理工艺流程图</w:t>
      </w:r>
    </w:p>
    <w:p w14:paraId="628AC808">
      <w:pPr>
        <w:widowControl/>
        <w:autoSpaceDE w:val="0"/>
        <w:autoSpaceDN w:val="0"/>
        <w:adjustRightInd/>
        <w:spacing w:line="240" w:lineRule="auto"/>
        <w:ind w:firstLine="420" w:firstLineChars="200"/>
        <w:rPr>
          <w:rFonts w:ascii="宋体" w:hAnsi="Times New Roman"/>
          <w:b/>
          <w:bCs/>
          <w:kern w:val="0"/>
          <w:szCs w:val="20"/>
        </w:rPr>
      </w:pPr>
      <w:r>
        <w:rPr>
          <w:rFonts w:ascii="宋体" w:hAnsi="Times New Roman"/>
          <w:kern w:val="0"/>
          <w:szCs w:val="20"/>
        </w:rPr>
        <w:drawing>
          <wp:inline distT="0" distB="0" distL="0" distR="0">
            <wp:extent cx="5277485" cy="1541145"/>
            <wp:effectExtent l="0" t="0" r="0" b="190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77485" cy="1541145"/>
                    </a:xfrm>
                    <a:prstGeom prst="rect">
                      <a:avLst/>
                    </a:prstGeom>
                    <a:noFill/>
                    <a:ln>
                      <a:noFill/>
                    </a:ln>
                  </pic:spPr>
                </pic:pic>
              </a:graphicData>
            </a:graphic>
          </wp:inline>
        </w:drawing>
      </w:r>
    </w:p>
    <w:p w14:paraId="02450290">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图</w:t>
      </w:r>
      <w:r>
        <w:rPr>
          <w:rFonts w:ascii="宋体" w:hAnsi="Times New Roman"/>
          <w:b/>
          <w:bCs/>
          <w:kern w:val="0"/>
          <w:szCs w:val="20"/>
        </w:rPr>
        <w:t xml:space="preserve">2 </w:t>
      </w:r>
      <w:r>
        <w:rPr>
          <w:rFonts w:hint="eastAsia" w:ascii="宋体" w:hAnsi="Times New Roman"/>
          <w:b/>
          <w:bCs/>
          <w:kern w:val="0"/>
          <w:szCs w:val="20"/>
        </w:rPr>
        <w:t>酸性蚀刻废液预处理工艺流程图</w:t>
      </w:r>
    </w:p>
    <w:p w14:paraId="532BE26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w:t>
      </w:r>
      <w:r>
        <w:rPr>
          <w:rFonts w:ascii="宋体" w:hAnsi="Times New Roman"/>
          <w:kern w:val="0"/>
          <w:szCs w:val="20"/>
        </w:rPr>
        <w:t xml:space="preserve">.2.2 </w:t>
      </w:r>
      <w:r>
        <w:rPr>
          <w:rFonts w:hint="eastAsia" w:ascii="宋体" w:hAnsi="Times New Roman"/>
          <w:kern w:val="0"/>
          <w:szCs w:val="20"/>
        </w:rPr>
        <w:t>合成工艺流程</w:t>
      </w:r>
    </w:p>
    <w:p w14:paraId="7B68DED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从预处理工艺来的碱性预处理后溶液与酸性预处理后溶液按照比例进入反应釜</w:t>
      </w:r>
      <w:r>
        <w:rPr>
          <w:rFonts w:ascii="宋体" w:hAnsi="Times New Roman"/>
          <w:kern w:val="0"/>
          <w:szCs w:val="20"/>
        </w:rPr>
        <w:t>，加热、搅拌、洗涤、</w:t>
      </w:r>
      <w:r>
        <w:rPr>
          <w:rFonts w:hint="eastAsia" w:ascii="宋体" w:hAnsi="Times New Roman"/>
          <w:kern w:val="0"/>
          <w:szCs w:val="20"/>
        </w:rPr>
        <w:t>过滤得到碱式氯化铜</w:t>
      </w:r>
      <w:r>
        <w:rPr>
          <w:rFonts w:ascii="宋体" w:hAnsi="Times New Roman"/>
          <w:kern w:val="0"/>
          <w:szCs w:val="20"/>
        </w:rPr>
        <w:t>(如作为下游生产原料则直接进入下游工序)，再进行烘干、筛分、包装得到工业碱</w:t>
      </w:r>
      <w:r>
        <w:rPr>
          <w:rFonts w:hint="eastAsia" w:ascii="宋体" w:hAnsi="Times New Roman"/>
          <w:kern w:val="0"/>
          <w:szCs w:val="20"/>
        </w:rPr>
        <w:t>式氯化铜产品。合成工艺流程图见图</w:t>
      </w:r>
      <w:r>
        <w:rPr>
          <w:rFonts w:ascii="宋体" w:hAnsi="Times New Roman"/>
          <w:kern w:val="0"/>
          <w:szCs w:val="20"/>
        </w:rPr>
        <w:t>3。</w:t>
      </w:r>
    </w:p>
    <w:p w14:paraId="76D5C04D">
      <w:pPr>
        <w:widowControl/>
        <w:autoSpaceDE w:val="0"/>
        <w:autoSpaceDN w:val="0"/>
        <w:adjustRightInd/>
        <w:spacing w:line="240" w:lineRule="auto"/>
        <w:ind w:firstLine="420" w:firstLineChars="200"/>
        <w:rPr>
          <w:rFonts w:ascii="宋体" w:hAnsi="Times New Roman"/>
          <w:b/>
          <w:bCs/>
          <w:kern w:val="0"/>
          <w:szCs w:val="20"/>
        </w:rPr>
      </w:pPr>
      <w:r>
        <w:rPr>
          <w:rFonts w:ascii="宋体" w:hAnsi="Times New Roman"/>
          <w:kern w:val="0"/>
          <w:szCs w:val="20"/>
        </w:rPr>
        <w:drawing>
          <wp:inline distT="0" distB="0" distL="0" distR="0">
            <wp:extent cx="5277485" cy="174180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7485" cy="1741805"/>
                    </a:xfrm>
                    <a:prstGeom prst="rect">
                      <a:avLst/>
                    </a:prstGeom>
                    <a:noFill/>
                    <a:ln>
                      <a:noFill/>
                    </a:ln>
                  </pic:spPr>
                </pic:pic>
              </a:graphicData>
            </a:graphic>
          </wp:inline>
        </w:drawing>
      </w:r>
    </w:p>
    <w:p w14:paraId="1CE82F4E">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图</w:t>
      </w:r>
      <w:r>
        <w:rPr>
          <w:rFonts w:ascii="宋体" w:hAnsi="Times New Roman"/>
          <w:b/>
          <w:bCs/>
          <w:kern w:val="0"/>
          <w:szCs w:val="20"/>
        </w:rPr>
        <w:t xml:space="preserve">3 </w:t>
      </w:r>
      <w:r>
        <w:rPr>
          <w:rFonts w:hint="eastAsia" w:ascii="宋体" w:hAnsi="Times New Roman"/>
          <w:b/>
          <w:bCs/>
          <w:kern w:val="0"/>
          <w:szCs w:val="20"/>
        </w:rPr>
        <w:t>碱式氯化铜合成工艺流程图</w:t>
      </w:r>
    </w:p>
    <w:p w14:paraId="4900E80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w:t>
      </w:r>
      <w:r>
        <w:rPr>
          <w:rFonts w:ascii="宋体" w:hAnsi="Times New Roman"/>
          <w:kern w:val="0"/>
          <w:szCs w:val="20"/>
        </w:rPr>
        <w:t xml:space="preserve">.3 </w:t>
      </w:r>
      <w:r>
        <w:rPr>
          <w:rFonts w:hint="eastAsia" w:ascii="宋体" w:hAnsi="Times New Roman"/>
          <w:kern w:val="0"/>
          <w:szCs w:val="20"/>
        </w:rPr>
        <w:t>工艺参数</w:t>
      </w:r>
    </w:p>
    <w:p w14:paraId="30E77A6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1.3.1 原料预处理工艺参数</w:t>
      </w:r>
    </w:p>
    <w:p w14:paraId="3DFC572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原料预处理工艺参数如下</w:t>
      </w:r>
      <w:r>
        <w:rPr>
          <w:rFonts w:ascii="宋体" w:hAnsi="Times New Roman"/>
          <w:kern w:val="0"/>
          <w:szCs w:val="20"/>
        </w:rPr>
        <w:t>：</w:t>
      </w:r>
    </w:p>
    <w:p w14:paraId="4DFEE34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（1）碱性蚀刻废液反应釜控制</w:t>
      </w:r>
      <w:r>
        <w:rPr>
          <w:rFonts w:ascii="宋体" w:hAnsi="Times New Roman"/>
          <w:kern w:val="0"/>
          <w:szCs w:val="20"/>
        </w:rPr>
        <w:t>pH为8~10；</w:t>
      </w:r>
    </w:p>
    <w:p w14:paraId="5C93F4D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（2）酸性蚀刻废液反应釜控制</w:t>
      </w:r>
      <w:r>
        <w:rPr>
          <w:rFonts w:ascii="宋体" w:hAnsi="Times New Roman"/>
          <w:kern w:val="0"/>
          <w:szCs w:val="20"/>
        </w:rPr>
        <w:t>pH为0~2。</w:t>
      </w:r>
    </w:p>
    <w:p w14:paraId="6B7A305E">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1.3.2 合成工艺参数</w:t>
      </w:r>
    </w:p>
    <w:p w14:paraId="209ED94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合成工艺参数如下</w:t>
      </w:r>
      <w:r>
        <w:rPr>
          <w:rFonts w:ascii="宋体" w:hAnsi="Times New Roman"/>
          <w:kern w:val="0"/>
          <w:szCs w:val="20"/>
        </w:rPr>
        <w:t>：</w:t>
      </w:r>
    </w:p>
    <w:p w14:paraId="1E3784E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w:t>
      </w:r>
      <w:r>
        <w:rPr>
          <w:rFonts w:ascii="宋体" w:hAnsi="Times New Roman"/>
          <w:kern w:val="0"/>
          <w:szCs w:val="20"/>
        </w:rPr>
        <w:t>1</w:t>
      </w:r>
      <w:r>
        <w:rPr>
          <w:rFonts w:hint="eastAsia" w:ascii="宋体" w:hAnsi="Times New Roman"/>
          <w:kern w:val="0"/>
          <w:szCs w:val="20"/>
        </w:rPr>
        <w:t>）合成反应釜保持常压、加热温度控制为</w:t>
      </w:r>
      <w:r>
        <w:rPr>
          <w:rFonts w:ascii="宋体" w:hAnsi="Times New Roman"/>
          <w:kern w:val="0"/>
          <w:szCs w:val="20"/>
        </w:rPr>
        <w:t>60</w:t>
      </w:r>
      <w:r>
        <w:rPr>
          <w:rFonts w:hint="eastAsia" w:ascii="宋体" w:hAnsi="宋体" w:cs="宋体"/>
          <w:kern w:val="0"/>
          <w:szCs w:val="20"/>
        </w:rPr>
        <w:t>℃</w:t>
      </w:r>
      <w:r>
        <w:rPr>
          <w:rFonts w:ascii="宋体" w:hAnsi="Times New Roman"/>
          <w:kern w:val="0"/>
          <w:szCs w:val="20"/>
        </w:rPr>
        <w:t>~90</w:t>
      </w:r>
      <w:r>
        <w:rPr>
          <w:rFonts w:hint="eastAsia" w:ascii="宋体" w:hAnsi="宋体" w:cs="宋体"/>
          <w:kern w:val="0"/>
          <w:szCs w:val="20"/>
        </w:rPr>
        <w:t>℃</w:t>
      </w:r>
      <w:r>
        <w:rPr>
          <w:rFonts w:ascii="宋体" w:hAnsi="Times New Roman"/>
          <w:kern w:val="0"/>
          <w:szCs w:val="20"/>
        </w:rPr>
        <w:t>，pH为3~5；</w:t>
      </w:r>
    </w:p>
    <w:p w14:paraId="2271A12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（2）烘干设备进料温度控制为</w:t>
      </w:r>
      <w:r>
        <w:rPr>
          <w:rFonts w:ascii="宋体" w:hAnsi="Times New Roman"/>
          <w:kern w:val="0"/>
          <w:szCs w:val="20"/>
        </w:rPr>
        <w:t>98</w:t>
      </w:r>
      <w:r>
        <w:rPr>
          <w:rFonts w:hint="eastAsia" w:ascii="宋体" w:hAnsi="宋体" w:cs="宋体"/>
          <w:kern w:val="0"/>
          <w:szCs w:val="20"/>
        </w:rPr>
        <w:t>℃</w:t>
      </w:r>
      <w:r>
        <w:rPr>
          <w:rFonts w:ascii="宋体" w:hAnsi="Times New Roman"/>
          <w:kern w:val="0"/>
          <w:szCs w:val="20"/>
        </w:rPr>
        <w:t>以下，料仓温度控制为50</w:t>
      </w:r>
      <w:r>
        <w:rPr>
          <w:rFonts w:hint="eastAsia" w:ascii="宋体" w:hAnsi="宋体" w:cs="宋体"/>
          <w:kern w:val="0"/>
          <w:szCs w:val="20"/>
        </w:rPr>
        <w:t>℃</w:t>
      </w:r>
      <w:r>
        <w:rPr>
          <w:rFonts w:ascii="宋体" w:hAnsi="Times New Roman"/>
          <w:kern w:val="0"/>
          <w:szCs w:val="20"/>
        </w:rPr>
        <w:t>~60</w:t>
      </w:r>
      <w:r>
        <w:rPr>
          <w:rFonts w:hint="eastAsia" w:ascii="宋体" w:hAnsi="宋体" w:cs="宋体"/>
          <w:kern w:val="0"/>
          <w:szCs w:val="20"/>
        </w:rPr>
        <w:t>℃</w:t>
      </w:r>
      <w:r>
        <w:rPr>
          <w:rFonts w:ascii="宋体" w:hAnsi="Times New Roman"/>
          <w:kern w:val="0"/>
          <w:szCs w:val="20"/>
        </w:rPr>
        <w:t>。</w:t>
      </w:r>
    </w:p>
    <w:p w14:paraId="4F849EF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1.4 生产设备</w:t>
      </w:r>
    </w:p>
    <w:p w14:paraId="48EB47C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含铜蚀刻废液生产碱式氯化铜所需的主要设备有</w:t>
      </w:r>
      <w:r>
        <w:rPr>
          <w:rFonts w:ascii="宋体" w:hAnsi="Times New Roman"/>
          <w:kern w:val="0"/>
          <w:szCs w:val="20"/>
        </w:rPr>
        <w:t>：加热系统、排风处理系统、储槽、反应釜、固液分</w:t>
      </w:r>
      <w:r>
        <w:rPr>
          <w:rFonts w:hint="eastAsia" w:ascii="宋体" w:hAnsi="Times New Roman"/>
          <w:kern w:val="0"/>
          <w:szCs w:val="20"/>
        </w:rPr>
        <w:t>离设备、耐酸碱泵、烘干设备、包装设备等。</w:t>
      </w:r>
    </w:p>
    <w:p w14:paraId="44D67C7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1.5 产品指标</w:t>
      </w:r>
    </w:p>
    <w:p w14:paraId="165EF1D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碱式氯化铜产品应符合表</w:t>
      </w:r>
      <w:r>
        <w:rPr>
          <w:rFonts w:ascii="宋体" w:hAnsi="Times New Roman"/>
          <w:kern w:val="0"/>
          <w:szCs w:val="20"/>
        </w:rPr>
        <w:t>1技术要求。</w:t>
      </w:r>
    </w:p>
    <w:p w14:paraId="30753B4D">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表1</w:t>
      </w:r>
      <w:r>
        <w:rPr>
          <w:rFonts w:ascii="宋体" w:hAnsi="Times New Roman"/>
          <w:b/>
          <w:bCs/>
          <w:kern w:val="0"/>
          <w:szCs w:val="20"/>
        </w:rPr>
        <w:t xml:space="preserve"> </w:t>
      </w:r>
      <w:r>
        <w:rPr>
          <w:rFonts w:hint="eastAsia" w:ascii="宋体" w:hAnsi="Times New Roman"/>
          <w:b/>
          <w:bCs/>
          <w:kern w:val="0"/>
          <w:szCs w:val="20"/>
        </w:rPr>
        <w:t>碱式氯化铜合成技术要求</w:t>
      </w:r>
    </w:p>
    <w:tbl>
      <w:tblPr>
        <w:tblStyle w:val="2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1413"/>
        <w:gridCol w:w="3260"/>
        <w:gridCol w:w="1843"/>
        <w:gridCol w:w="1780"/>
      </w:tblGrid>
      <w:tr w14:paraId="29642E9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2"/>
            <w:tcBorders>
              <w:top w:val="single" w:color="auto" w:sz="12" w:space="0"/>
              <w:left w:val="single" w:color="auto" w:sz="12" w:space="0"/>
              <w:bottom w:val="single" w:color="auto" w:sz="12" w:space="0"/>
              <w:right w:val="single" w:color="auto" w:sz="4" w:space="0"/>
            </w:tcBorders>
            <w:vAlign w:val="center"/>
          </w:tcPr>
          <w:p w14:paraId="1A996003">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项目</w:t>
            </w:r>
          </w:p>
        </w:tc>
        <w:tc>
          <w:tcPr>
            <w:tcW w:w="1843" w:type="dxa"/>
            <w:tcBorders>
              <w:top w:val="single" w:color="auto" w:sz="12" w:space="0"/>
              <w:left w:val="single" w:color="auto" w:sz="4" w:space="0"/>
              <w:bottom w:val="single" w:color="auto" w:sz="12" w:space="0"/>
              <w:right w:val="single" w:color="auto" w:sz="4" w:space="0"/>
            </w:tcBorders>
            <w:vAlign w:val="center"/>
          </w:tcPr>
          <w:p w14:paraId="6BCF7E7F">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指标</w:t>
            </w:r>
          </w:p>
        </w:tc>
        <w:tc>
          <w:tcPr>
            <w:tcW w:w="1780" w:type="dxa"/>
            <w:tcBorders>
              <w:top w:val="single" w:color="auto" w:sz="12" w:space="0"/>
              <w:left w:val="single" w:color="auto" w:sz="4" w:space="0"/>
              <w:bottom w:val="single" w:color="auto" w:sz="12" w:space="0"/>
              <w:right w:val="single" w:color="auto" w:sz="12" w:space="0"/>
            </w:tcBorders>
            <w:vAlign w:val="center"/>
          </w:tcPr>
          <w:p w14:paraId="43C6F628">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分析方法</w:t>
            </w:r>
          </w:p>
        </w:tc>
      </w:tr>
      <w:tr w14:paraId="26A0CC3C">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413" w:type="dxa"/>
            <w:vMerge w:val="restart"/>
            <w:tcBorders>
              <w:top w:val="nil"/>
              <w:left w:val="single" w:color="auto" w:sz="12" w:space="0"/>
              <w:bottom w:val="single" w:color="auto" w:sz="4" w:space="0"/>
              <w:right w:val="single" w:color="auto" w:sz="4" w:space="0"/>
            </w:tcBorders>
            <w:vAlign w:val="center"/>
          </w:tcPr>
          <w:p w14:paraId="6196EA71">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碱式氯化铜</w:t>
            </w:r>
          </w:p>
        </w:tc>
        <w:tc>
          <w:tcPr>
            <w:tcW w:w="3260" w:type="dxa"/>
            <w:tcBorders>
              <w:top w:val="single" w:color="auto" w:sz="12" w:space="0"/>
              <w:left w:val="single" w:color="auto" w:sz="4" w:space="0"/>
              <w:bottom w:val="single" w:color="auto" w:sz="4" w:space="0"/>
              <w:right w:val="single" w:color="auto" w:sz="4" w:space="0"/>
            </w:tcBorders>
            <w:vAlign w:val="center"/>
          </w:tcPr>
          <w:p w14:paraId="0FE57EB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[以Cu</w:t>
            </w:r>
            <w:r>
              <w:rPr>
                <w:rFonts w:hint="eastAsia" w:ascii="宋体" w:hAnsi="Times New Roman"/>
                <w:kern w:val="0"/>
                <w:szCs w:val="20"/>
                <w:vertAlign w:val="subscript"/>
              </w:rPr>
              <w:t>2</w:t>
            </w:r>
            <w:r>
              <w:rPr>
                <w:rFonts w:hint="eastAsia" w:ascii="宋体" w:hAnsi="Times New Roman"/>
                <w:kern w:val="0"/>
                <w:szCs w:val="20"/>
              </w:rPr>
              <w:t>(O</w:t>
            </w:r>
            <w:r>
              <w:rPr>
                <w:rFonts w:ascii="宋体" w:hAnsi="Times New Roman"/>
                <w:kern w:val="0"/>
                <w:szCs w:val="20"/>
              </w:rPr>
              <w:t>H)</w:t>
            </w:r>
            <w:r>
              <w:rPr>
                <w:rFonts w:hint="eastAsia" w:ascii="宋体" w:hAnsi="Times New Roman"/>
                <w:kern w:val="0"/>
                <w:szCs w:val="20"/>
                <w:vertAlign w:val="subscript"/>
              </w:rPr>
              <w:t>3</w:t>
            </w:r>
            <w:r>
              <w:rPr>
                <w:rFonts w:ascii="宋体" w:hAnsi="Times New Roman"/>
                <w:kern w:val="0"/>
                <w:szCs w:val="20"/>
              </w:rPr>
              <w:t>C</w:t>
            </w:r>
            <w:r>
              <w:rPr>
                <w:rFonts w:hint="eastAsia" w:ascii="宋体" w:hAnsi="Times New Roman"/>
                <w:kern w:val="0"/>
                <w:szCs w:val="20"/>
              </w:rPr>
              <w:t>l计</w:t>
            </w:r>
            <w:r>
              <w:rPr>
                <w:rFonts w:ascii="宋体" w:hAnsi="Times New Roman"/>
                <w:kern w:val="0"/>
                <w:szCs w:val="20"/>
              </w:rPr>
              <w:t xml:space="preserve">] </w:t>
            </w:r>
            <w:r>
              <w:rPr>
                <w:rFonts w:hint="eastAsia" w:ascii="宋体" w:hAnsi="Times New Roman"/>
                <w:kern w:val="0"/>
                <w:szCs w:val="20"/>
              </w:rPr>
              <w:t>w/%</w:t>
            </w:r>
          </w:p>
        </w:tc>
        <w:tc>
          <w:tcPr>
            <w:tcW w:w="1843" w:type="dxa"/>
            <w:tcBorders>
              <w:top w:val="single" w:color="auto" w:sz="12" w:space="0"/>
              <w:left w:val="single" w:color="auto" w:sz="4" w:space="0"/>
              <w:bottom w:val="single" w:color="auto" w:sz="4" w:space="0"/>
              <w:right w:val="single" w:color="auto" w:sz="4" w:space="0"/>
            </w:tcBorders>
            <w:vAlign w:val="center"/>
          </w:tcPr>
          <w:p w14:paraId="495E1BA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9</w:t>
            </w:r>
            <w:r>
              <w:rPr>
                <w:rFonts w:ascii="宋体" w:hAnsi="Times New Roman"/>
                <w:kern w:val="0"/>
                <w:szCs w:val="20"/>
              </w:rPr>
              <w:t>5.0</w:t>
            </w:r>
          </w:p>
        </w:tc>
        <w:tc>
          <w:tcPr>
            <w:tcW w:w="1780" w:type="dxa"/>
            <w:vMerge w:val="restart"/>
            <w:tcBorders>
              <w:top w:val="single" w:color="auto" w:sz="12" w:space="0"/>
              <w:left w:val="single" w:color="auto" w:sz="4" w:space="0"/>
              <w:bottom w:val="single" w:color="auto" w:sz="4" w:space="0"/>
              <w:right w:val="single" w:color="auto" w:sz="12" w:space="0"/>
            </w:tcBorders>
            <w:vAlign w:val="center"/>
          </w:tcPr>
          <w:p w14:paraId="0525CB2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参见附录B</w:t>
            </w:r>
          </w:p>
        </w:tc>
      </w:tr>
      <w:tr w14:paraId="7EEE2121">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tcBorders>
              <w:top w:val="nil"/>
              <w:left w:val="single" w:color="auto" w:sz="12" w:space="0"/>
              <w:bottom w:val="single" w:color="auto" w:sz="4" w:space="0"/>
              <w:right w:val="single" w:color="auto" w:sz="4" w:space="0"/>
            </w:tcBorders>
            <w:vAlign w:val="center"/>
          </w:tcPr>
          <w:p w14:paraId="4C00B4E3">
            <w:pPr>
              <w:widowControl/>
              <w:autoSpaceDE w:val="0"/>
              <w:autoSpaceDN w:val="0"/>
              <w:adjustRightInd/>
              <w:spacing w:line="240" w:lineRule="auto"/>
              <w:ind w:firstLine="420" w:firstLineChars="200"/>
              <w:rPr>
                <w:rFonts w:ascii="宋体" w:hAnsi="Times New Roman"/>
                <w:kern w:val="0"/>
                <w:szCs w:val="20"/>
              </w:rPr>
            </w:pPr>
          </w:p>
        </w:tc>
        <w:tc>
          <w:tcPr>
            <w:tcW w:w="3260" w:type="dxa"/>
            <w:tcBorders>
              <w:top w:val="single" w:color="auto" w:sz="4" w:space="0"/>
              <w:left w:val="single" w:color="auto" w:sz="4" w:space="0"/>
              <w:bottom w:val="single" w:color="auto" w:sz="4" w:space="0"/>
              <w:right w:val="single" w:color="auto" w:sz="4" w:space="0"/>
            </w:tcBorders>
            <w:vAlign w:val="center"/>
          </w:tcPr>
          <w:p w14:paraId="782A6D8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[以Cu</w:t>
            </w:r>
            <w:r>
              <w:rPr>
                <w:rFonts w:ascii="宋体" w:hAnsi="Times New Roman"/>
                <w:kern w:val="0"/>
                <w:szCs w:val="20"/>
              </w:rPr>
              <w:t xml:space="preserve">] </w:t>
            </w:r>
            <w:r>
              <w:rPr>
                <w:rFonts w:hint="eastAsia" w:ascii="宋体" w:hAnsi="Times New Roman"/>
                <w:kern w:val="0"/>
                <w:szCs w:val="20"/>
              </w:rPr>
              <w:t>w/%</w:t>
            </w:r>
          </w:p>
        </w:tc>
        <w:tc>
          <w:tcPr>
            <w:tcW w:w="1843" w:type="dxa"/>
            <w:tcBorders>
              <w:top w:val="single" w:color="auto" w:sz="4" w:space="0"/>
              <w:left w:val="single" w:color="auto" w:sz="4" w:space="0"/>
              <w:bottom w:val="nil"/>
              <w:right w:val="single" w:color="auto" w:sz="4" w:space="0"/>
            </w:tcBorders>
            <w:vAlign w:val="center"/>
          </w:tcPr>
          <w:p w14:paraId="2AEE6FB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5</w:t>
            </w:r>
            <w:r>
              <w:rPr>
                <w:rFonts w:ascii="宋体" w:hAnsi="Times New Roman"/>
                <w:kern w:val="0"/>
                <w:szCs w:val="20"/>
              </w:rPr>
              <w:t>4.0</w:t>
            </w:r>
          </w:p>
        </w:tc>
        <w:tc>
          <w:tcPr>
            <w:tcW w:w="0" w:type="auto"/>
            <w:vMerge w:val="continue"/>
            <w:tcBorders>
              <w:top w:val="single" w:color="auto" w:sz="12" w:space="0"/>
              <w:left w:val="single" w:color="auto" w:sz="4" w:space="0"/>
              <w:bottom w:val="single" w:color="auto" w:sz="4" w:space="0"/>
              <w:right w:val="single" w:color="auto" w:sz="12" w:space="0"/>
            </w:tcBorders>
            <w:vAlign w:val="center"/>
          </w:tcPr>
          <w:p w14:paraId="02ECA5CB">
            <w:pPr>
              <w:widowControl/>
              <w:autoSpaceDE w:val="0"/>
              <w:autoSpaceDN w:val="0"/>
              <w:adjustRightInd/>
              <w:spacing w:line="240" w:lineRule="auto"/>
              <w:ind w:firstLine="420" w:firstLineChars="200"/>
              <w:rPr>
                <w:rFonts w:ascii="宋体" w:hAnsi="Times New Roman"/>
                <w:kern w:val="0"/>
                <w:szCs w:val="20"/>
              </w:rPr>
            </w:pPr>
          </w:p>
        </w:tc>
      </w:tr>
      <w:tr w14:paraId="30D0B70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2"/>
            <w:tcBorders>
              <w:top w:val="single" w:color="auto" w:sz="4" w:space="0"/>
              <w:left w:val="single" w:color="auto" w:sz="12" w:space="0"/>
              <w:bottom w:val="single" w:color="auto" w:sz="4" w:space="0"/>
              <w:right w:val="single" w:color="auto" w:sz="4" w:space="0"/>
            </w:tcBorders>
            <w:vAlign w:val="center"/>
          </w:tcPr>
          <w:p w14:paraId="68037B9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铅（Pb）w/%</w:t>
            </w:r>
          </w:p>
        </w:tc>
        <w:tc>
          <w:tcPr>
            <w:tcW w:w="1843" w:type="dxa"/>
            <w:tcBorders>
              <w:top w:val="single" w:color="auto" w:sz="4" w:space="0"/>
              <w:left w:val="single" w:color="auto" w:sz="4" w:space="0"/>
              <w:bottom w:val="single" w:color="auto" w:sz="4" w:space="0"/>
              <w:right w:val="single" w:color="auto" w:sz="4" w:space="0"/>
            </w:tcBorders>
            <w:vAlign w:val="center"/>
          </w:tcPr>
          <w:p w14:paraId="44C93DA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.01</w:t>
            </w:r>
          </w:p>
        </w:tc>
        <w:tc>
          <w:tcPr>
            <w:tcW w:w="0" w:type="auto"/>
            <w:vMerge w:val="continue"/>
            <w:tcBorders>
              <w:top w:val="single" w:color="auto" w:sz="12" w:space="0"/>
              <w:left w:val="single" w:color="auto" w:sz="4" w:space="0"/>
              <w:bottom w:val="single" w:color="auto" w:sz="4" w:space="0"/>
              <w:right w:val="single" w:color="auto" w:sz="12" w:space="0"/>
            </w:tcBorders>
            <w:vAlign w:val="center"/>
          </w:tcPr>
          <w:p w14:paraId="0E4B0D32">
            <w:pPr>
              <w:widowControl/>
              <w:autoSpaceDE w:val="0"/>
              <w:autoSpaceDN w:val="0"/>
              <w:adjustRightInd/>
              <w:spacing w:line="240" w:lineRule="auto"/>
              <w:ind w:firstLine="420" w:firstLineChars="200"/>
              <w:rPr>
                <w:rFonts w:ascii="宋体" w:hAnsi="Times New Roman"/>
                <w:kern w:val="0"/>
                <w:szCs w:val="20"/>
              </w:rPr>
            </w:pPr>
          </w:p>
        </w:tc>
      </w:tr>
      <w:tr w14:paraId="5299E87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2"/>
            <w:tcBorders>
              <w:top w:val="single" w:color="auto" w:sz="4" w:space="0"/>
              <w:left w:val="single" w:color="auto" w:sz="12" w:space="0"/>
              <w:bottom w:val="single" w:color="auto" w:sz="4" w:space="0"/>
              <w:right w:val="single" w:color="auto" w:sz="4" w:space="0"/>
            </w:tcBorders>
            <w:vAlign w:val="center"/>
          </w:tcPr>
          <w:p w14:paraId="222F2E8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镉（Cd）w/%</w:t>
            </w:r>
          </w:p>
        </w:tc>
        <w:tc>
          <w:tcPr>
            <w:tcW w:w="1843" w:type="dxa"/>
            <w:tcBorders>
              <w:top w:val="single" w:color="auto" w:sz="4" w:space="0"/>
              <w:left w:val="single" w:color="auto" w:sz="4" w:space="0"/>
              <w:bottom w:val="single" w:color="auto" w:sz="4" w:space="0"/>
              <w:right w:val="single" w:color="auto" w:sz="4" w:space="0"/>
            </w:tcBorders>
            <w:vAlign w:val="center"/>
          </w:tcPr>
          <w:p w14:paraId="4515EDC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.003</w:t>
            </w:r>
          </w:p>
        </w:tc>
        <w:tc>
          <w:tcPr>
            <w:tcW w:w="0" w:type="auto"/>
            <w:vMerge w:val="continue"/>
            <w:tcBorders>
              <w:top w:val="single" w:color="auto" w:sz="12" w:space="0"/>
              <w:left w:val="single" w:color="auto" w:sz="4" w:space="0"/>
              <w:bottom w:val="single" w:color="auto" w:sz="4" w:space="0"/>
              <w:right w:val="single" w:color="auto" w:sz="12" w:space="0"/>
            </w:tcBorders>
            <w:vAlign w:val="center"/>
          </w:tcPr>
          <w:p w14:paraId="7678C1BE">
            <w:pPr>
              <w:widowControl/>
              <w:autoSpaceDE w:val="0"/>
              <w:autoSpaceDN w:val="0"/>
              <w:adjustRightInd/>
              <w:spacing w:line="240" w:lineRule="auto"/>
              <w:ind w:firstLine="420" w:firstLineChars="200"/>
              <w:rPr>
                <w:rFonts w:ascii="宋体" w:hAnsi="Times New Roman"/>
                <w:kern w:val="0"/>
                <w:szCs w:val="20"/>
              </w:rPr>
            </w:pPr>
          </w:p>
        </w:tc>
      </w:tr>
      <w:tr w14:paraId="47A6C0FF">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4673" w:type="dxa"/>
            <w:gridSpan w:val="2"/>
            <w:tcBorders>
              <w:top w:val="single" w:color="auto" w:sz="4" w:space="0"/>
              <w:left w:val="single" w:color="auto" w:sz="12" w:space="0"/>
              <w:bottom w:val="single" w:color="auto" w:sz="12" w:space="0"/>
              <w:right w:val="single" w:color="auto" w:sz="4" w:space="0"/>
            </w:tcBorders>
            <w:vAlign w:val="center"/>
          </w:tcPr>
          <w:p w14:paraId="40AC0BB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砷（As）w/%</w:t>
            </w:r>
          </w:p>
        </w:tc>
        <w:tc>
          <w:tcPr>
            <w:tcW w:w="1843" w:type="dxa"/>
            <w:tcBorders>
              <w:top w:val="single" w:color="auto" w:sz="4" w:space="0"/>
              <w:left w:val="single" w:color="auto" w:sz="4" w:space="0"/>
              <w:bottom w:val="single" w:color="auto" w:sz="12" w:space="0"/>
              <w:right w:val="single" w:color="auto" w:sz="4" w:space="0"/>
            </w:tcBorders>
            <w:vAlign w:val="center"/>
          </w:tcPr>
          <w:p w14:paraId="43ACB16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.01</w:t>
            </w:r>
          </w:p>
        </w:tc>
        <w:tc>
          <w:tcPr>
            <w:tcW w:w="0" w:type="auto"/>
            <w:vMerge w:val="continue"/>
            <w:tcBorders>
              <w:top w:val="single" w:color="auto" w:sz="12" w:space="0"/>
              <w:left w:val="single" w:color="auto" w:sz="4" w:space="0"/>
              <w:bottom w:val="single" w:color="auto" w:sz="4" w:space="0"/>
              <w:right w:val="single" w:color="auto" w:sz="12" w:space="0"/>
            </w:tcBorders>
            <w:vAlign w:val="center"/>
          </w:tcPr>
          <w:p w14:paraId="02FFE2C2">
            <w:pPr>
              <w:widowControl/>
              <w:autoSpaceDE w:val="0"/>
              <w:autoSpaceDN w:val="0"/>
              <w:adjustRightInd/>
              <w:spacing w:line="240" w:lineRule="auto"/>
              <w:ind w:firstLine="420" w:firstLineChars="200"/>
              <w:rPr>
                <w:rFonts w:ascii="宋体" w:hAnsi="Times New Roman"/>
                <w:kern w:val="0"/>
                <w:szCs w:val="20"/>
              </w:rPr>
            </w:pPr>
          </w:p>
        </w:tc>
      </w:tr>
    </w:tbl>
    <w:p w14:paraId="3379301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 </w:t>
      </w:r>
    </w:p>
    <w:p w14:paraId="293E7B0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A</w:t>
      </w:r>
      <w:r>
        <w:rPr>
          <w:rFonts w:ascii="宋体" w:hAnsi="Times New Roman"/>
          <w:kern w:val="0"/>
          <w:szCs w:val="20"/>
        </w:rPr>
        <w:t xml:space="preserve">.2 </w:t>
      </w:r>
      <w:r>
        <w:rPr>
          <w:rFonts w:hint="eastAsia" w:ascii="宋体" w:hAnsi="Times New Roman"/>
          <w:kern w:val="0"/>
          <w:szCs w:val="20"/>
        </w:rPr>
        <w:t>生产氧化铜</w:t>
      </w:r>
    </w:p>
    <w:p w14:paraId="30C2F0F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2.1 </w:t>
      </w:r>
      <w:r>
        <w:rPr>
          <w:rFonts w:hint="eastAsia" w:ascii="宋体" w:hAnsi="Times New Roman"/>
          <w:kern w:val="0"/>
          <w:szCs w:val="20"/>
        </w:rPr>
        <w:t>原理</w:t>
      </w:r>
    </w:p>
    <w:p w14:paraId="2CAAB63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碱式氯化铜与碱液在沸水中反应生成氧化铜。其化学反应方程式如下</w:t>
      </w:r>
      <w:r>
        <w:rPr>
          <w:rFonts w:ascii="宋体" w:hAnsi="Times New Roman"/>
          <w:kern w:val="0"/>
          <w:szCs w:val="20"/>
        </w:rPr>
        <w:t>：</w:t>
      </w:r>
    </w:p>
    <w:p w14:paraId="27D0594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Cu2(OH)3Cl+NaOH </w:t>
      </w:r>
      <w:r>
        <w:rPr>
          <w:rFonts w:hint="eastAsia" w:ascii="宋体" w:hAnsi="Times New Roman"/>
          <w:kern w:val="0"/>
          <w:szCs w:val="20"/>
        </w:rPr>
        <w:t>→</w:t>
      </w:r>
      <w:r>
        <w:rPr>
          <w:rFonts w:ascii="宋体" w:hAnsi="Times New Roman"/>
          <w:kern w:val="0"/>
          <w:szCs w:val="20"/>
        </w:rPr>
        <w:t>2CuO+NaCl+2H2O</w:t>
      </w:r>
    </w:p>
    <w:p w14:paraId="7030A5A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2.2 </w:t>
      </w:r>
      <w:r>
        <w:rPr>
          <w:rFonts w:hint="eastAsia" w:ascii="宋体" w:hAnsi="Times New Roman"/>
          <w:kern w:val="0"/>
          <w:szCs w:val="20"/>
        </w:rPr>
        <w:t>工艺流程</w:t>
      </w:r>
    </w:p>
    <w:p w14:paraId="1D276C2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碱式氯化铜和碱液按照比例进入反应釜</w:t>
      </w:r>
      <w:r>
        <w:rPr>
          <w:rFonts w:ascii="宋体" w:hAnsi="Times New Roman"/>
          <w:kern w:val="0"/>
          <w:szCs w:val="20"/>
        </w:rPr>
        <w:t>，加热、搅拌反应完全后，经过多次洗涤、过滤、烘干、粉碎、</w:t>
      </w:r>
      <w:r>
        <w:rPr>
          <w:rFonts w:hint="eastAsia" w:ascii="宋体" w:hAnsi="Times New Roman"/>
          <w:kern w:val="0"/>
          <w:szCs w:val="20"/>
        </w:rPr>
        <w:t>包装</w:t>
      </w:r>
      <w:r>
        <w:rPr>
          <w:rFonts w:ascii="宋体" w:hAnsi="Times New Roman"/>
          <w:kern w:val="0"/>
          <w:szCs w:val="20"/>
        </w:rPr>
        <w:t>，得到氧化铜产品，洗涤液循环使用多次后进入废水回收处理系统。生产氧化铜的工艺流程图见</w:t>
      </w:r>
      <w:r>
        <w:rPr>
          <w:rFonts w:hint="eastAsia" w:ascii="宋体" w:hAnsi="Times New Roman"/>
          <w:kern w:val="0"/>
          <w:szCs w:val="20"/>
        </w:rPr>
        <w:t>图</w:t>
      </w:r>
      <w:r>
        <w:rPr>
          <w:rFonts w:ascii="宋体" w:hAnsi="Times New Roman"/>
          <w:kern w:val="0"/>
          <w:szCs w:val="20"/>
        </w:rPr>
        <w:t>4。</w:t>
      </w:r>
    </w:p>
    <w:p w14:paraId="3D95721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5277485" cy="1706880"/>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277485" cy="1706880"/>
                    </a:xfrm>
                    <a:prstGeom prst="rect">
                      <a:avLst/>
                    </a:prstGeom>
                    <a:noFill/>
                    <a:ln>
                      <a:noFill/>
                    </a:ln>
                  </pic:spPr>
                </pic:pic>
              </a:graphicData>
            </a:graphic>
          </wp:inline>
        </w:drawing>
      </w:r>
    </w:p>
    <w:p w14:paraId="1A8045A8">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图</w:t>
      </w:r>
      <w:r>
        <w:rPr>
          <w:rFonts w:ascii="宋体" w:hAnsi="Times New Roman"/>
          <w:b/>
          <w:bCs/>
          <w:kern w:val="0"/>
          <w:szCs w:val="20"/>
        </w:rPr>
        <w:t xml:space="preserve">4 </w:t>
      </w:r>
      <w:r>
        <w:rPr>
          <w:rFonts w:hint="eastAsia" w:ascii="宋体" w:hAnsi="Times New Roman"/>
          <w:b/>
          <w:bCs/>
          <w:kern w:val="0"/>
          <w:szCs w:val="20"/>
        </w:rPr>
        <w:t>生产氧化铜工艺流程图</w:t>
      </w:r>
    </w:p>
    <w:p w14:paraId="712CC884">
      <w:pPr>
        <w:widowControl/>
        <w:autoSpaceDE w:val="0"/>
        <w:autoSpaceDN w:val="0"/>
        <w:adjustRightInd/>
        <w:spacing w:line="240" w:lineRule="auto"/>
        <w:ind w:firstLine="420" w:firstLineChars="200"/>
        <w:rPr>
          <w:rFonts w:ascii="宋体" w:hAnsi="Times New Roman"/>
          <w:kern w:val="0"/>
          <w:szCs w:val="20"/>
        </w:rPr>
      </w:pPr>
      <w:bookmarkStart w:id="82" w:name="_Hlk160139214"/>
      <w:bookmarkEnd w:id="82"/>
      <w:r>
        <w:rPr>
          <w:rFonts w:ascii="宋体" w:hAnsi="Times New Roman"/>
          <w:kern w:val="0"/>
          <w:szCs w:val="20"/>
        </w:rPr>
        <w:t>2.3 工艺参数</w:t>
      </w:r>
    </w:p>
    <w:p w14:paraId="023AE4A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生产氧化铜工艺参数如下</w:t>
      </w:r>
      <w:r>
        <w:rPr>
          <w:rFonts w:ascii="宋体" w:hAnsi="Times New Roman"/>
          <w:kern w:val="0"/>
          <w:szCs w:val="20"/>
        </w:rPr>
        <w:t>：</w:t>
      </w:r>
    </w:p>
    <w:p w14:paraId="096A7DD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（1）碱液</w:t>
      </w:r>
      <w:r>
        <w:rPr>
          <w:rFonts w:ascii="宋体" w:hAnsi="Times New Roman"/>
          <w:kern w:val="0"/>
          <w:szCs w:val="20"/>
        </w:rPr>
        <w:t>(浓度30%)过量2%~4%；</w:t>
      </w:r>
    </w:p>
    <w:p w14:paraId="372A637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（2）反应釜温度控制为</w:t>
      </w:r>
      <w:r>
        <w:rPr>
          <w:rFonts w:ascii="宋体" w:hAnsi="Times New Roman"/>
          <w:kern w:val="0"/>
          <w:szCs w:val="20"/>
        </w:rPr>
        <w:t>80</w:t>
      </w:r>
      <w:r>
        <w:rPr>
          <w:rFonts w:hint="eastAsia" w:ascii="宋体" w:hAnsi="宋体" w:cs="宋体"/>
          <w:kern w:val="0"/>
          <w:szCs w:val="20"/>
        </w:rPr>
        <w:t>℃</w:t>
      </w:r>
      <w:r>
        <w:rPr>
          <w:rFonts w:ascii="宋体" w:hAnsi="Times New Roman"/>
          <w:kern w:val="0"/>
          <w:szCs w:val="20"/>
        </w:rPr>
        <w:t>~90</w:t>
      </w:r>
      <w:r>
        <w:rPr>
          <w:rFonts w:hint="eastAsia" w:ascii="宋体" w:hAnsi="宋体" w:cs="宋体"/>
          <w:kern w:val="0"/>
          <w:szCs w:val="20"/>
        </w:rPr>
        <w:t>℃</w:t>
      </w:r>
      <w:r>
        <w:rPr>
          <w:rFonts w:ascii="宋体" w:hAnsi="Times New Roman"/>
          <w:kern w:val="0"/>
          <w:szCs w:val="20"/>
        </w:rPr>
        <w:t>；</w:t>
      </w:r>
    </w:p>
    <w:p w14:paraId="4687883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（3）烘干设备进料温度控制在</w:t>
      </w:r>
      <w:r>
        <w:rPr>
          <w:rFonts w:ascii="宋体" w:hAnsi="Times New Roman"/>
          <w:kern w:val="0"/>
          <w:szCs w:val="20"/>
        </w:rPr>
        <w:t>98</w:t>
      </w:r>
      <w:r>
        <w:rPr>
          <w:rFonts w:hint="eastAsia" w:ascii="宋体" w:hAnsi="宋体" w:cs="宋体"/>
          <w:kern w:val="0"/>
          <w:szCs w:val="20"/>
        </w:rPr>
        <w:t>℃</w:t>
      </w:r>
      <w:r>
        <w:rPr>
          <w:rFonts w:ascii="宋体" w:hAnsi="Times New Roman"/>
          <w:kern w:val="0"/>
          <w:szCs w:val="20"/>
        </w:rPr>
        <w:t>以下，料仓温度控制为50</w:t>
      </w:r>
      <w:r>
        <w:rPr>
          <w:rFonts w:hint="eastAsia" w:ascii="宋体" w:hAnsi="宋体" w:cs="宋体"/>
          <w:kern w:val="0"/>
          <w:szCs w:val="20"/>
        </w:rPr>
        <w:t>℃</w:t>
      </w:r>
      <w:r>
        <w:rPr>
          <w:rFonts w:ascii="宋体" w:hAnsi="Times New Roman"/>
          <w:kern w:val="0"/>
          <w:szCs w:val="20"/>
        </w:rPr>
        <w:t>~60</w:t>
      </w:r>
      <w:r>
        <w:rPr>
          <w:rFonts w:hint="eastAsia" w:ascii="宋体" w:hAnsi="宋体" w:cs="宋体"/>
          <w:kern w:val="0"/>
          <w:szCs w:val="20"/>
        </w:rPr>
        <w:t>℃</w:t>
      </w:r>
      <w:r>
        <w:rPr>
          <w:rFonts w:ascii="宋体" w:hAnsi="Times New Roman"/>
          <w:kern w:val="0"/>
          <w:szCs w:val="20"/>
        </w:rPr>
        <w:t>。</w:t>
      </w:r>
    </w:p>
    <w:p w14:paraId="36CE35F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2.4 生产设备</w:t>
      </w:r>
    </w:p>
    <w:p w14:paraId="18E9D82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含铜蚀刻废液生产氧化铜所需的主要设备有</w:t>
      </w:r>
      <w:r>
        <w:rPr>
          <w:rFonts w:ascii="宋体" w:hAnsi="Times New Roman"/>
          <w:kern w:val="0"/>
          <w:szCs w:val="20"/>
        </w:rPr>
        <w:t>：加热系统、排风处理系统、储槽、反应釜、固液分离设</w:t>
      </w:r>
      <w:r>
        <w:rPr>
          <w:rFonts w:hint="eastAsia" w:ascii="宋体" w:hAnsi="Times New Roman"/>
          <w:kern w:val="0"/>
          <w:szCs w:val="20"/>
        </w:rPr>
        <w:t>备、耐酸碱泵、烘干设备、粉碎设备、包装设备等。</w:t>
      </w:r>
    </w:p>
    <w:p w14:paraId="190899F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2.5 产品指标</w:t>
      </w:r>
    </w:p>
    <w:p w14:paraId="50D3FB8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氧化铜产品符合表</w:t>
      </w:r>
      <w:r>
        <w:rPr>
          <w:rFonts w:ascii="宋体" w:hAnsi="Times New Roman"/>
          <w:kern w:val="0"/>
          <w:szCs w:val="20"/>
        </w:rPr>
        <w:t>2技术要求。</w:t>
      </w:r>
    </w:p>
    <w:p w14:paraId="51979F2B">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表</w:t>
      </w:r>
      <w:r>
        <w:rPr>
          <w:rFonts w:ascii="宋体" w:hAnsi="Times New Roman"/>
          <w:b/>
          <w:bCs/>
          <w:kern w:val="0"/>
          <w:szCs w:val="20"/>
        </w:rPr>
        <w:t>2</w:t>
      </w:r>
      <w:r>
        <w:rPr>
          <w:rFonts w:hint="eastAsia" w:ascii="宋体" w:hAnsi="Times New Roman"/>
          <w:b/>
          <w:bCs/>
          <w:kern w:val="0"/>
          <w:szCs w:val="20"/>
        </w:rPr>
        <w:t xml:space="preserve"> 氯化铜合成技术要求</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246"/>
        <w:gridCol w:w="2551"/>
        <w:gridCol w:w="2479"/>
      </w:tblGrid>
      <w:tr w14:paraId="6C0C967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46" w:type="dxa"/>
            <w:tcBorders>
              <w:top w:val="single" w:color="auto" w:sz="12" w:space="0"/>
              <w:left w:val="single" w:color="auto" w:sz="12" w:space="0"/>
              <w:bottom w:val="single" w:color="auto" w:sz="12" w:space="0"/>
              <w:right w:val="single" w:color="auto" w:sz="4" w:space="0"/>
            </w:tcBorders>
            <w:vAlign w:val="center"/>
          </w:tcPr>
          <w:p w14:paraId="6BFBDC3A">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项目</w:t>
            </w:r>
          </w:p>
        </w:tc>
        <w:tc>
          <w:tcPr>
            <w:tcW w:w="2551" w:type="dxa"/>
            <w:tcBorders>
              <w:top w:val="single" w:color="auto" w:sz="12" w:space="0"/>
              <w:left w:val="single" w:color="auto" w:sz="4" w:space="0"/>
              <w:bottom w:val="single" w:color="auto" w:sz="12" w:space="0"/>
              <w:right w:val="single" w:color="auto" w:sz="4" w:space="0"/>
            </w:tcBorders>
            <w:vAlign w:val="center"/>
          </w:tcPr>
          <w:p w14:paraId="3DE28C69">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指标</w:t>
            </w:r>
          </w:p>
        </w:tc>
        <w:tc>
          <w:tcPr>
            <w:tcW w:w="2479" w:type="dxa"/>
            <w:tcBorders>
              <w:top w:val="single" w:color="auto" w:sz="12" w:space="0"/>
              <w:left w:val="single" w:color="auto" w:sz="4" w:space="0"/>
              <w:bottom w:val="single" w:color="auto" w:sz="12" w:space="0"/>
              <w:right w:val="single" w:color="auto" w:sz="12" w:space="0"/>
            </w:tcBorders>
            <w:vAlign w:val="center"/>
          </w:tcPr>
          <w:p w14:paraId="6195DA45">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分析方法</w:t>
            </w:r>
          </w:p>
        </w:tc>
      </w:tr>
      <w:tr w14:paraId="119C375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46" w:type="dxa"/>
            <w:tcBorders>
              <w:top w:val="single" w:color="auto" w:sz="4" w:space="0"/>
              <w:left w:val="single" w:color="auto" w:sz="12" w:space="0"/>
              <w:bottom w:val="single" w:color="auto" w:sz="4" w:space="0"/>
              <w:right w:val="single" w:color="auto" w:sz="4" w:space="0"/>
            </w:tcBorders>
            <w:vAlign w:val="center"/>
          </w:tcPr>
          <w:p w14:paraId="61E738E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氧化铜（以Cu</w:t>
            </w:r>
            <w:r>
              <w:rPr>
                <w:rFonts w:ascii="宋体" w:hAnsi="Times New Roman"/>
                <w:kern w:val="0"/>
                <w:szCs w:val="20"/>
              </w:rPr>
              <w:t>O</w:t>
            </w:r>
            <w:r>
              <w:rPr>
                <w:rFonts w:hint="eastAsia" w:ascii="宋体" w:hAnsi="Times New Roman"/>
                <w:kern w:val="0"/>
                <w:szCs w:val="20"/>
              </w:rPr>
              <w:t>计）w/%</w:t>
            </w:r>
          </w:p>
        </w:tc>
        <w:tc>
          <w:tcPr>
            <w:tcW w:w="2551" w:type="dxa"/>
            <w:tcBorders>
              <w:top w:val="single" w:color="auto" w:sz="4" w:space="0"/>
              <w:left w:val="single" w:color="auto" w:sz="4" w:space="0"/>
              <w:bottom w:val="single" w:color="auto" w:sz="4" w:space="0"/>
              <w:right w:val="single" w:color="auto" w:sz="4" w:space="0"/>
            </w:tcBorders>
            <w:vAlign w:val="center"/>
          </w:tcPr>
          <w:p w14:paraId="73D98E1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9</w:t>
            </w:r>
            <w:r>
              <w:rPr>
                <w:rFonts w:ascii="宋体" w:hAnsi="Times New Roman"/>
                <w:kern w:val="0"/>
                <w:szCs w:val="20"/>
              </w:rPr>
              <w:t>4.0</w:t>
            </w:r>
          </w:p>
        </w:tc>
        <w:tc>
          <w:tcPr>
            <w:tcW w:w="2479" w:type="dxa"/>
            <w:vMerge w:val="restart"/>
            <w:tcBorders>
              <w:top w:val="single" w:color="auto" w:sz="4" w:space="0"/>
              <w:left w:val="single" w:color="auto" w:sz="4" w:space="0"/>
              <w:bottom w:val="single" w:color="auto" w:sz="4" w:space="0"/>
              <w:right w:val="single" w:color="auto" w:sz="12" w:space="0"/>
            </w:tcBorders>
            <w:vAlign w:val="center"/>
          </w:tcPr>
          <w:p w14:paraId="73BB3912">
            <w:pPr>
              <w:widowControl/>
              <w:autoSpaceDE w:val="0"/>
              <w:autoSpaceDN w:val="0"/>
              <w:adjustRightInd/>
              <w:spacing w:line="240" w:lineRule="auto"/>
              <w:ind w:firstLine="420" w:firstLineChars="200"/>
              <w:jc w:val="center"/>
              <w:rPr>
                <w:rFonts w:ascii="宋体" w:hAnsi="Times New Roman"/>
                <w:kern w:val="0"/>
                <w:szCs w:val="20"/>
              </w:rPr>
            </w:pPr>
            <w:r>
              <w:rPr>
                <w:rFonts w:hint="eastAsia" w:ascii="宋体" w:hAnsi="Times New Roman"/>
                <w:kern w:val="0"/>
                <w:szCs w:val="20"/>
              </w:rPr>
              <w:t>参见</w:t>
            </w:r>
            <w:r>
              <w:rPr>
                <w:rFonts w:ascii="宋体" w:hAnsi="Times New Roman"/>
                <w:kern w:val="0"/>
                <w:szCs w:val="20"/>
              </w:rPr>
              <w:t>GB/T26046—2010</w:t>
            </w:r>
          </w:p>
        </w:tc>
      </w:tr>
      <w:tr w14:paraId="69E24B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46" w:type="dxa"/>
            <w:tcBorders>
              <w:top w:val="single" w:color="auto" w:sz="4" w:space="0"/>
              <w:left w:val="single" w:color="auto" w:sz="12" w:space="0"/>
              <w:bottom w:val="single" w:color="auto" w:sz="4" w:space="0"/>
              <w:right w:val="single" w:color="auto" w:sz="4" w:space="0"/>
            </w:tcBorders>
            <w:vAlign w:val="center"/>
          </w:tcPr>
          <w:p w14:paraId="56FDFCC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铁（Fe）w/%</w:t>
            </w:r>
          </w:p>
        </w:tc>
        <w:tc>
          <w:tcPr>
            <w:tcW w:w="2551" w:type="dxa"/>
            <w:tcBorders>
              <w:top w:val="single" w:color="auto" w:sz="4" w:space="0"/>
              <w:left w:val="single" w:color="auto" w:sz="4" w:space="0"/>
              <w:bottom w:val="single" w:color="auto" w:sz="4" w:space="0"/>
              <w:right w:val="single" w:color="auto" w:sz="4" w:space="0"/>
            </w:tcBorders>
            <w:vAlign w:val="center"/>
          </w:tcPr>
          <w:p w14:paraId="772B9BCB">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.009</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2ADECB75">
            <w:pPr>
              <w:widowControl/>
              <w:autoSpaceDE w:val="0"/>
              <w:autoSpaceDN w:val="0"/>
              <w:adjustRightInd/>
              <w:spacing w:line="240" w:lineRule="auto"/>
              <w:ind w:firstLine="420" w:firstLineChars="200"/>
              <w:rPr>
                <w:rFonts w:ascii="宋体" w:hAnsi="Times New Roman"/>
                <w:kern w:val="0"/>
                <w:szCs w:val="20"/>
              </w:rPr>
            </w:pPr>
          </w:p>
        </w:tc>
      </w:tr>
      <w:tr w14:paraId="392A85D5">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46" w:type="dxa"/>
            <w:tcBorders>
              <w:top w:val="single" w:color="auto" w:sz="4" w:space="0"/>
              <w:left w:val="single" w:color="auto" w:sz="12" w:space="0"/>
              <w:bottom w:val="single" w:color="auto" w:sz="4" w:space="0"/>
              <w:right w:val="single" w:color="auto" w:sz="4" w:space="0"/>
            </w:tcBorders>
            <w:vAlign w:val="center"/>
          </w:tcPr>
          <w:p w14:paraId="66F67992">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氯化物（以Cl计）w/%</w:t>
            </w:r>
          </w:p>
        </w:tc>
        <w:tc>
          <w:tcPr>
            <w:tcW w:w="2551" w:type="dxa"/>
            <w:tcBorders>
              <w:top w:val="single" w:color="auto" w:sz="4" w:space="0"/>
              <w:left w:val="single" w:color="auto" w:sz="4" w:space="0"/>
              <w:bottom w:val="single" w:color="auto" w:sz="4" w:space="0"/>
              <w:right w:val="single" w:color="auto" w:sz="4" w:space="0"/>
            </w:tcBorders>
            <w:vAlign w:val="center"/>
          </w:tcPr>
          <w:p w14:paraId="79EF7E6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.2</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122B5710">
            <w:pPr>
              <w:widowControl/>
              <w:autoSpaceDE w:val="0"/>
              <w:autoSpaceDN w:val="0"/>
              <w:adjustRightInd/>
              <w:spacing w:line="240" w:lineRule="auto"/>
              <w:ind w:firstLine="420" w:firstLineChars="200"/>
              <w:rPr>
                <w:rFonts w:ascii="宋体" w:hAnsi="Times New Roman"/>
                <w:kern w:val="0"/>
                <w:szCs w:val="20"/>
              </w:rPr>
            </w:pPr>
          </w:p>
        </w:tc>
      </w:tr>
      <w:tr w14:paraId="10CBAC4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246" w:type="dxa"/>
            <w:tcBorders>
              <w:top w:val="single" w:color="auto" w:sz="4" w:space="0"/>
              <w:left w:val="single" w:color="auto" w:sz="12" w:space="0"/>
              <w:bottom w:val="single" w:color="auto" w:sz="12" w:space="0"/>
              <w:right w:val="single" w:color="auto" w:sz="4" w:space="0"/>
            </w:tcBorders>
            <w:vAlign w:val="center"/>
          </w:tcPr>
          <w:p w14:paraId="3893F06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盐酸不溶物w/%</w:t>
            </w:r>
          </w:p>
        </w:tc>
        <w:tc>
          <w:tcPr>
            <w:tcW w:w="2551" w:type="dxa"/>
            <w:tcBorders>
              <w:top w:val="single" w:color="auto" w:sz="4" w:space="0"/>
              <w:left w:val="single" w:color="auto" w:sz="4" w:space="0"/>
              <w:bottom w:val="single" w:color="auto" w:sz="12" w:space="0"/>
              <w:right w:val="single" w:color="auto" w:sz="4" w:space="0"/>
            </w:tcBorders>
            <w:vAlign w:val="center"/>
          </w:tcPr>
          <w:p w14:paraId="7AF4D55D">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02</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544E3D7C">
            <w:pPr>
              <w:widowControl/>
              <w:autoSpaceDE w:val="0"/>
              <w:autoSpaceDN w:val="0"/>
              <w:adjustRightInd/>
              <w:spacing w:line="240" w:lineRule="auto"/>
              <w:ind w:firstLine="420" w:firstLineChars="200"/>
              <w:rPr>
                <w:rFonts w:ascii="宋体" w:hAnsi="Times New Roman"/>
                <w:kern w:val="0"/>
                <w:szCs w:val="20"/>
              </w:rPr>
            </w:pPr>
          </w:p>
        </w:tc>
      </w:tr>
    </w:tbl>
    <w:p w14:paraId="7E208E7B">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A</w:t>
      </w:r>
      <w:r>
        <w:rPr>
          <w:rFonts w:ascii="宋体" w:hAnsi="Times New Roman"/>
          <w:b/>
          <w:bCs/>
          <w:kern w:val="0"/>
          <w:szCs w:val="20"/>
        </w:rPr>
        <w:t xml:space="preserve">.3 </w:t>
      </w:r>
      <w:r>
        <w:rPr>
          <w:rFonts w:hint="eastAsia" w:ascii="宋体" w:hAnsi="Times New Roman"/>
          <w:b/>
          <w:bCs/>
          <w:kern w:val="0"/>
          <w:szCs w:val="20"/>
        </w:rPr>
        <w:t>生产高纯硫酸铜</w:t>
      </w:r>
    </w:p>
    <w:p w14:paraId="2C780E0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3.1 </w:t>
      </w:r>
      <w:r>
        <w:rPr>
          <w:rFonts w:hint="eastAsia" w:ascii="宋体" w:hAnsi="Times New Roman"/>
          <w:kern w:val="0"/>
          <w:szCs w:val="20"/>
        </w:rPr>
        <w:t>原理</w:t>
      </w:r>
    </w:p>
    <w:p w14:paraId="5315E12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氧化铜和硫酸反应生成硫酸铜</w:t>
      </w:r>
      <w:r>
        <w:rPr>
          <w:rFonts w:ascii="宋体" w:hAnsi="Times New Roman"/>
          <w:kern w:val="0"/>
          <w:szCs w:val="20"/>
        </w:rPr>
        <w:t>，经过精制除杂得到高纯硫酸铜。其化学反应方程式如下：</w:t>
      </w:r>
    </w:p>
    <w:p w14:paraId="440FA58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CuO+H2SO4 →CuSO4+H2O</w:t>
      </w:r>
    </w:p>
    <w:p w14:paraId="2BCB4DF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 xml:space="preserve">3.2 </w:t>
      </w:r>
      <w:r>
        <w:rPr>
          <w:rFonts w:hint="eastAsia" w:ascii="宋体" w:hAnsi="Times New Roman"/>
          <w:kern w:val="0"/>
          <w:szCs w:val="20"/>
        </w:rPr>
        <w:t>工艺流程</w:t>
      </w:r>
    </w:p>
    <w:p w14:paraId="72A280B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原料氧化铜经过打浆后进入反应釜</w:t>
      </w:r>
      <w:r>
        <w:rPr>
          <w:rFonts w:ascii="宋体" w:hAnsi="Times New Roman"/>
          <w:kern w:val="0"/>
          <w:szCs w:val="20"/>
        </w:rPr>
        <w:t>，同时加入硫酸进行反应，反应完后精制除杂，热过滤、冷却结</w:t>
      </w:r>
      <w:r>
        <w:rPr>
          <w:rFonts w:hint="eastAsia" w:ascii="宋体" w:hAnsi="Times New Roman"/>
          <w:kern w:val="0"/>
          <w:szCs w:val="20"/>
        </w:rPr>
        <w:t>晶、过滤洗涤、离心分离后干燥得成品</w:t>
      </w:r>
      <w:r>
        <w:rPr>
          <w:rFonts w:ascii="宋体" w:hAnsi="Times New Roman"/>
          <w:kern w:val="0"/>
          <w:szCs w:val="20"/>
        </w:rPr>
        <w:t>，经包装得到高纯硫酸铜产品。洗涤过滤的母液定期除杂净化后</w:t>
      </w:r>
      <w:r>
        <w:rPr>
          <w:rFonts w:hint="eastAsia" w:ascii="宋体" w:hAnsi="Times New Roman"/>
          <w:kern w:val="0"/>
          <w:szCs w:val="20"/>
        </w:rPr>
        <w:t>循环使用。高纯硫酸铜生产工艺流程图见图</w:t>
      </w:r>
      <w:r>
        <w:rPr>
          <w:rFonts w:ascii="宋体" w:hAnsi="Times New Roman"/>
          <w:kern w:val="0"/>
          <w:szCs w:val="20"/>
        </w:rPr>
        <w:t>5。</w:t>
      </w:r>
    </w:p>
    <w:p w14:paraId="0AC6274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5277485" cy="2133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277485" cy="2133600"/>
                    </a:xfrm>
                    <a:prstGeom prst="rect">
                      <a:avLst/>
                    </a:prstGeom>
                    <a:noFill/>
                    <a:ln>
                      <a:noFill/>
                    </a:ln>
                  </pic:spPr>
                </pic:pic>
              </a:graphicData>
            </a:graphic>
          </wp:inline>
        </w:drawing>
      </w:r>
    </w:p>
    <w:p w14:paraId="16991FA9">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图</w:t>
      </w:r>
      <w:r>
        <w:rPr>
          <w:rFonts w:ascii="宋体" w:hAnsi="Times New Roman"/>
          <w:b/>
          <w:bCs/>
          <w:kern w:val="0"/>
          <w:szCs w:val="20"/>
        </w:rPr>
        <w:t xml:space="preserve">5 </w:t>
      </w:r>
      <w:r>
        <w:rPr>
          <w:rFonts w:hint="eastAsia" w:ascii="宋体" w:hAnsi="Times New Roman"/>
          <w:b/>
          <w:bCs/>
          <w:kern w:val="0"/>
          <w:szCs w:val="20"/>
        </w:rPr>
        <w:t>生产高纯氧化铜工艺流程图</w:t>
      </w:r>
    </w:p>
    <w:p w14:paraId="37DF446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3.3 工艺参数</w:t>
      </w:r>
    </w:p>
    <w:p w14:paraId="36EE3A17">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生产高纯氧化铜工艺参数如下</w:t>
      </w:r>
      <w:r>
        <w:rPr>
          <w:rFonts w:ascii="宋体" w:hAnsi="Times New Roman"/>
          <w:kern w:val="0"/>
          <w:szCs w:val="20"/>
        </w:rPr>
        <w:t>：</w:t>
      </w:r>
    </w:p>
    <w:p w14:paraId="7B639B90">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（1）硫酸</w:t>
      </w:r>
      <w:r>
        <w:rPr>
          <w:rFonts w:ascii="宋体" w:hAnsi="Times New Roman"/>
          <w:kern w:val="0"/>
          <w:szCs w:val="20"/>
        </w:rPr>
        <w:t>(浓度98%)过量1%~3%；</w:t>
      </w:r>
    </w:p>
    <w:p w14:paraId="4E2C964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（2）反应釜温度控制为</w:t>
      </w:r>
      <w:r>
        <w:rPr>
          <w:rFonts w:ascii="宋体" w:hAnsi="Times New Roman"/>
          <w:kern w:val="0"/>
          <w:szCs w:val="20"/>
        </w:rPr>
        <w:t>90</w:t>
      </w:r>
      <w:r>
        <w:rPr>
          <w:rFonts w:hint="eastAsia" w:ascii="宋体" w:hAnsi="宋体" w:cs="宋体"/>
          <w:kern w:val="0"/>
          <w:szCs w:val="20"/>
        </w:rPr>
        <w:t>℃</w:t>
      </w:r>
      <w:r>
        <w:rPr>
          <w:rFonts w:ascii="宋体" w:hAnsi="Times New Roman"/>
          <w:kern w:val="0"/>
          <w:szCs w:val="20"/>
        </w:rPr>
        <w:t>~100</w:t>
      </w:r>
      <w:r>
        <w:rPr>
          <w:rFonts w:hint="eastAsia" w:ascii="宋体" w:hAnsi="宋体" w:cs="宋体"/>
          <w:kern w:val="0"/>
          <w:szCs w:val="20"/>
        </w:rPr>
        <w:t>℃</w:t>
      </w:r>
      <w:r>
        <w:rPr>
          <w:rFonts w:ascii="宋体" w:hAnsi="Times New Roman"/>
          <w:kern w:val="0"/>
          <w:szCs w:val="20"/>
        </w:rPr>
        <w:t>；</w:t>
      </w:r>
    </w:p>
    <w:p w14:paraId="0E687F3E">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（3）烘干设备进料温度控制在</w:t>
      </w:r>
      <w:r>
        <w:rPr>
          <w:rFonts w:ascii="宋体" w:hAnsi="Times New Roman"/>
          <w:kern w:val="0"/>
          <w:szCs w:val="20"/>
        </w:rPr>
        <w:t>50</w:t>
      </w:r>
      <w:r>
        <w:rPr>
          <w:rFonts w:hint="eastAsia" w:ascii="宋体" w:hAnsi="宋体" w:cs="宋体"/>
          <w:kern w:val="0"/>
          <w:szCs w:val="20"/>
        </w:rPr>
        <w:t>℃</w:t>
      </w:r>
      <w:r>
        <w:rPr>
          <w:rFonts w:ascii="宋体" w:hAnsi="Times New Roman"/>
          <w:kern w:val="0"/>
          <w:szCs w:val="20"/>
        </w:rPr>
        <w:t>以下，料仓温度控制为30</w:t>
      </w:r>
      <w:r>
        <w:rPr>
          <w:rFonts w:hint="eastAsia" w:ascii="宋体" w:hAnsi="宋体" w:cs="宋体"/>
          <w:kern w:val="0"/>
          <w:szCs w:val="20"/>
        </w:rPr>
        <w:t>℃</w:t>
      </w:r>
      <w:r>
        <w:rPr>
          <w:rFonts w:ascii="宋体" w:hAnsi="Times New Roman"/>
          <w:kern w:val="0"/>
          <w:szCs w:val="20"/>
        </w:rPr>
        <w:t>~40</w:t>
      </w:r>
      <w:r>
        <w:rPr>
          <w:rFonts w:hint="eastAsia" w:ascii="宋体" w:hAnsi="宋体" w:cs="宋体"/>
          <w:kern w:val="0"/>
          <w:szCs w:val="20"/>
        </w:rPr>
        <w:t>℃</w:t>
      </w:r>
      <w:r>
        <w:rPr>
          <w:rFonts w:ascii="宋体" w:hAnsi="Times New Roman"/>
          <w:kern w:val="0"/>
          <w:szCs w:val="20"/>
        </w:rPr>
        <w:t>。</w:t>
      </w:r>
      <w:r>
        <w:rPr>
          <w:rFonts w:hint="eastAsia" w:ascii="宋体" w:hAnsi="Times New Roman"/>
          <w:kern w:val="0"/>
          <w:szCs w:val="20"/>
        </w:rPr>
        <w:t>碱液</w:t>
      </w:r>
      <w:r>
        <w:rPr>
          <w:rFonts w:ascii="宋体" w:hAnsi="Times New Roman"/>
          <w:kern w:val="0"/>
          <w:szCs w:val="20"/>
        </w:rPr>
        <w:t>(浓度30%)过量2%~4%；</w:t>
      </w:r>
    </w:p>
    <w:p w14:paraId="2CF70A4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3.4 生产设备</w:t>
      </w:r>
    </w:p>
    <w:p w14:paraId="14408CFA">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含铜蚀刻废液生产高纯硫酸铜所需的主要设备有</w:t>
      </w:r>
      <w:r>
        <w:rPr>
          <w:rFonts w:ascii="宋体" w:hAnsi="Times New Roman"/>
          <w:kern w:val="0"/>
          <w:szCs w:val="20"/>
        </w:rPr>
        <w:t>：加热系统、排风处理系统、储槽、反应釜、固液分</w:t>
      </w:r>
      <w:r>
        <w:rPr>
          <w:rFonts w:hint="eastAsia" w:ascii="宋体" w:hAnsi="Times New Roman"/>
          <w:kern w:val="0"/>
          <w:szCs w:val="20"/>
        </w:rPr>
        <w:t>离设备、结晶槽、耐酸碱泵、包装设备等。</w:t>
      </w:r>
    </w:p>
    <w:p w14:paraId="5DBB43C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3.5 产品指标</w:t>
      </w:r>
    </w:p>
    <w:p w14:paraId="781F0269">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高纯氧化铜产品符合表</w:t>
      </w:r>
      <w:r>
        <w:rPr>
          <w:rFonts w:ascii="宋体" w:hAnsi="Times New Roman"/>
          <w:kern w:val="0"/>
          <w:szCs w:val="20"/>
        </w:rPr>
        <w:t>3技术要求。</w:t>
      </w:r>
    </w:p>
    <w:p w14:paraId="5AD2C3B0">
      <w:pPr>
        <w:widowControl/>
        <w:autoSpaceDE w:val="0"/>
        <w:autoSpaceDN w:val="0"/>
        <w:adjustRightInd/>
        <w:spacing w:line="240" w:lineRule="auto"/>
        <w:ind w:firstLine="422" w:firstLineChars="200"/>
        <w:jc w:val="center"/>
        <w:rPr>
          <w:rFonts w:ascii="宋体" w:hAnsi="Times New Roman"/>
          <w:b/>
          <w:bCs/>
          <w:kern w:val="0"/>
          <w:szCs w:val="20"/>
        </w:rPr>
      </w:pPr>
      <w:r>
        <w:rPr>
          <w:rFonts w:hint="eastAsia" w:ascii="宋体" w:hAnsi="Times New Roman"/>
          <w:b/>
          <w:bCs/>
          <w:kern w:val="0"/>
          <w:szCs w:val="20"/>
        </w:rPr>
        <w:t>表</w:t>
      </w:r>
      <w:r>
        <w:rPr>
          <w:rFonts w:ascii="宋体" w:hAnsi="Times New Roman"/>
          <w:b/>
          <w:bCs/>
          <w:kern w:val="0"/>
          <w:szCs w:val="20"/>
        </w:rPr>
        <w:t>3</w:t>
      </w:r>
      <w:r>
        <w:rPr>
          <w:rFonts w:hint="eastAsia" w:ascii="宋体" w:hAnsi="Times New Roman"/>
          <w:b/>
          <w:bCs/>
          <w:kern w:val="0"/>
          <w:szCs w:val="20"/>
        </w:rPr>
        <w:t xml:space="preserve"> 高纯氯化铜合成技术要求</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3387"/>
        <w:gridCol w:w="2552"/>
        <w:gridCol w:w="2337"/>
      </w:tblGrid>
      <w:tr w14:paraId="29E994D0">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12" w:space="0"/>
              <w:left w:val="single" w:color="auto" w:sz="12" w:space="0"/>
              <w:bottom w:val="single" w:color="auto" w:sz="12" w:space="0"/>
              <w:right w:val="single" w:color="auto" w:sz="4" w:space="0"/>
            </w:tcBorders>
            <w:vAlign w:val="center"/>
          </w:tcPr>
          <w:p w14:paraId="7B8E0269">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项目</w:t>
            </w:r>
          </w:p>
        </w:tc>
        <w:tc>
          <w:tcPr>
            <w:tcW w:w="2552" w:type="dxa"/>
            <w:tcBorders>
              <w:top w:val="single" w:color="auto" w:sz="12" w:space="0"/>
              <w:left w:val="single" w:color="auto" w:sz="4" w:space="0"/>
              <w:bottom w:val="single" w:color="auto" w:sz="12" w:space="0"/>
              <w:right w:val="single" w:color="auto" w:sz="4" w:space="0"/>
            </w:tcBorders>
            <w:vAlign w:val="center"/>
          </w:tcPr>
          <w:p w14:paraId="3F69A66D">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指标</w:t>
            </w:r>
          </w:p>
        </w:tc>
        <w:tc>
          <w:tcPr>
            <w:tcW w:w="2337" w:type="dxa"/>
            <w:tcBorders>
              <w:top w:val="single" w:color="auto" w:sz="12" w:space="0"/>
              <w:left w:val="single" w:color="auto" w:sz="4" w:space="0"/>
              <w:bottom w:val="single" w:color="auto" w:sz="12" w:space="0"/>
              <w:right w:val="single" w:color="auto" w:sz="12" w:space="0"/>
            </w:tcBorders>
            <w:vAlign w:val="center"/>
          </w:tcPr>
          <w:p w14:paraId="0791B8E3">
            <w:pPr>
              <w:widowControl/>
              <w:autoSpaceDE w:val="0"/>
              <w:autoSpaceDN w:val="0"/>
              <w:adjustRightInd/>
              <w:spacing w:line="240" w:lineRule="auto"/>
              <w:ind w:firstLine="422" w:firstLineChars="200"/>
              <w:rPr>
                <w:rFonts w:ascii="宋体" w:hAnsi="Times New Roman"/>
                <w:b/>
                <w:bCs/>
                <w:kern w:val="0"/>
                <w:szCs w:val="20"/>
              </w:rPr>
            </w:pPr>
            <w:r>
              <w:rPr>
                <w:rFonts w:hint="eastAsia" w:ascii="宋体" w:hAnsi="Times New Roman"/>
                <w:b/>
                <w:bCs/>
                <w:kern w:val="0"/>
                <w:szCs w:val="20"/>
              </w:rPr>
              <w:t>分析方法</w:t>
            </w:r>
          </w:p>
        </w:tc>
      </w:tr>
      <w:tr w14:paraId="04146F18">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4" w:space="0"/>
              <w:left w:val="single" w:color="auto" w:sz="12" w:space="0"/>
              <w:bottom w:val="single" w:color="auto" w:sz="4" w:space="0"/>
              <w:right w:val="single" w:color="auto" w:sz="4" w:space="0"/>
            </w:tcBorders>
            <w:vAlign w:val="center"/>
          </w:tcPr>
          <w:p w14:paraId="63444295">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钴（Co）w/%</w:t>
            </w:r>
          </w:p>
        </w:tc>
        <w:tc>
          <w:tcPr>
            <w:tcW w:w="2552" w:type="dxa"/>
            <w:tcBorders>
              <w:top w:val="single" w:color="auto" w:sz="4" w:space="0"/>
              <w:left w:val="single" w:color="auto" w:sz="4" w:space="0"/>
              <w:bottom w:val="single" w:color="auto" w:sz="4" w:space="0"/>
              <w:right w:val="single" w:color="auto" w:sz="4" w:space="0"/>
            </w:tcBorders>
            <w:vAlign w:val="center"/>
          </w:tcPr>
          <w:p w14:paraId="4454A91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.0005</w:t>
            </w:r>
          </w:p>
        </w:tc>
        <w:tc>
          <w:tcPr>
            <w:tcW w:w="2337" w:type="dxa"/>
            <w:vMerge w:val="restart"/>
            <w:tcBorders>
              <w:top w:val="single" w:color="auto" w:sz="4" w:space="0"/>
              <w:left w:val="single" w:color="auto" w:sz="4" w:space="0"/>
              <w:bottom w:val="single" w:color="auto" w:sz="4" w:space="0"/>
              <w:right w:val="single" w:color="auto" w:sz="12" w:space="0"/>
            </w:tcBorders>
            <w:vAlign w:val="center"/>
          </w:tcPr>
          <w:p w14:paraId="4424F64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参见</w:t>
            </w:r>
            <w:r>
              <w:rPr>
                <w:rFonts w:ascii="宋体" w:hAnsi="Times New Roman"/>
                <w:kern w:val="0"/>
                <w:szCs w:val="20"/>
              </w:rPr>
              <w:t>HG/T3592—2010</w:t>
            </w:r>
          </w:p>
        </w:tc>
      </w:tr>
      <w:tr w14:paraId="7B181A92">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4" w:space="0"/>
              <w:left w:val="single" w:color="auto" w:sz="12" w:space="0"/>
              <w:bottom w:val="single" w:color="auto" w:sz="4" w:space="0"/>
              <w:right w:val="single" w:color="auto" w:sz="4" w:space="0"/>
            </w:tcBorders>
            <w:vAlign w:val="center"/>
          </w:tcPr>
          <w:p w14:paraId="074DB7F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镍（Ni）w/%</w:t>
            </w:r>
          </w:p>
        </w:tc>
        <w:tc>
          <w:tcPr>
            <w:tcW w:w="2552" w:type="dxa"/>
            <w:tcBorders>
              <w:top w:val="single" w:color="auto" w:sz="4" w:space="0"/>
              <w:left w:val="single" w:color="auto" w:sz="4" w:space="0"/>
              <w:bottom w:val="single" w:color="auto" w:sz="4" w:space="0"/>
              <w:right w:val="single" w:color="auto" w:sz="4" w:space="0"/>
            </w:tcBorders>
            <w:vAlign w:val="center"/>
          </w:tcPr>
          <w:p w14:paraId="7F9BCE14">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.0005</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70827C3E">
            <w:pPr>
              <w:widowControl/>
              <w:autoSpaceDE w:val="0"/>
              <w:autoSpaceDN w:val="0"/>
              <w:adjustRightInd/>
              <w:spacing w:line="240" w:lineRule="auto"/>
              <w:ind w:firstLine="420" w:firstLineChars="200"/>
              <w:rPr>
                <w:rFonts w:ascii="宋体" w:hAnsi="Times New Roman"/>
                <w:kern w:val="0"/>
                <w:szCs w:val="20"/>
              </w:rPr>
            </w:pPr>
          </w:p>
        </w:tc>
      </w:tr>
      <w:tr w14:paraId="197697F4">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4" w:space="0"/>
              <w:left w:val="single" w:color="auto" w:sz="12" w:space="0"/>
              <w:bottom w:val="single" w:color="auto" w:sz="4" w:space="0"/>
              <w:right w:val="single" w:color="auto" w:sz="4" w:space="0"/>
            </w:tcBorders>
            <w:vAlign w:val="center"/>
          </w:tcPr>
          <w:p w14:paraId="5F3BC90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锌（Zn）w/%</w:t>
            </w:r>
          </w:p>
        </w:tc>
        <w:tc>
          <w:tcPr>
            <w:tcW w:w="2552" w:type="dxa"/>
            <w:tcBorders>
              <w:top w:val="single" w:color="auto" w:sz="4" w:space="0"/>
              <w:left w:val="single" w:color="auto" w:sz="4" w:space="0"/>
              <w:bottom w:val="single" w:color="auto" w:sz="4" w:space="0"/>
              <w:right w:val="single" w:color="auto" w:sz="4" w:space="0"/>
            </w:tcBorders>
            <w:vAlign w:val="center"/>
          </w:tcPr>
          <w:p w14:paraId="5377023F">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.001</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2500F58A">
            <w:pPr>
              <w:widowControl/>
              <w:autoSpaceDE w:val="0"/>
              <w:autoSpaceDN w:val="0"/>
              <w:adjustRightInd/>
              <w:spacing w:line="240" w:lineRule="auto"/>
              <w:ind w:firstLine="420" w:firstLineChars="200"/>
              <w:rPr>
                <w:rFonts w:ascii="宋体" w:hAnsi="Times New Roman"/>
                <w:kern w:val="0"/>
                <w:szCs w:val="20"/>
              </w:rPr>
            </w:pPr>
          </w:p>
        </w:tc>
      </w:tr>
      <w:tr w14:paraId="73DF657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4" w:space="0"/>
              <w:left w:val="single" w:color="auto" w:sz="12" w:space="0"/>
              <w:bottom w:val="single" w:color="auto" w:sz="4" w:space="0"/>
              <w:right w:val="single" w:color="auto" w:sz="4" w:space="0"/>
            </w:tcBorders>
            <w:vAlign w:val="center"/>
          </w:tcPr>
          <w:p w14:paraId="5F12473C">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水不溶物w/%</w:t>
            </w:r>
          </w:p>
        </w:tc>
        <w:tc>
          <w:tcPr>
            <w:tcW w:w="2552" w:type="dxa"/>
            <w:tcBorders>
              <w:top w:val="single" w:color="auto" w:sz="4" w:space="0"/>
              <w:left w:val="single" w:color="auto" w:sz="4" w:space="0"/>
              <w:bottom w:val="single" w:color="auto" w:sz="4" w:space="0"/>
              <w:right w:val="single" w:color="auto" w:sz="4" w:space="0"/>
            </w:tcBorders>
            <w:vAlign w:val="center"/>
          </w:tcPr>
          <w:p w14:paraId="308DDD46">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0</w:t>
            </w:r>
            <w:r>
              <w:rPr>
                <w:rFonts w:ascii="宋体" w:hAnsi="Times New Roman"/>
                <w:kern w:val="0"/>
                <w:szCs w:val="20"/>
              </w:rPr>
              <w:t>.005</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0ED6D803">
            <w:pPr>
              <w:widowControl/>
              <w:autoSpaceDE w:val="0"/>
              <w:autoSpaceDN w:val="0"/>
              <w:adjustRightInd/>
              <w:spacing w:line="240" w:lineRule="auto"/>
              <w:ind w:firstLine="420" w:firstLineChars="200"/>
              <w:rPr>
                <w:rFonts w:ascii="宋体" w:hAnsi="Times New Roman"/>
                <w:kern w:val="0"/>
                <w:szCs w:val="20"/>
              </w:rPr>
            </w:pPr>
          </w:p>
        </w:tc>
      </w:tr>
      <w:tr w14:paraId="19ED00C7">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3387" w:type="dxa"/>
            <w:tcBorders>
              <w:top w:val="single" w:color="auto" w:sz="4" w:space="0"/>
              <w:left w:val="single" w:color="auto" w:sz="12" w:space="0"/>
              <w:bottom w:val="single" w:color="auto" w:sz="12" w:space="0"/>
              <w:right w:val="single" w:color="auto" w:sz="4" w:space="0"/>
            </w:tcBorders>
            <w:vAlign w:val="center"/>
          </w:tcPr>
          <w:p w14:paraId="355A06B8">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p</w:t>
            </w:r>
            <w:r>
              <w:rPr>
                <w:rFonts w:ascii="宋体" w:hAnsi="Times New Roman"/>
                <w:kern w:val="0"/>
                <w:szCs w:val="20"/>
              </w:rPr>
              <w:t>H</w:t>
            </w:r>
            <w:r>
              <w:rPr>
                <w:rFonts w:hint="eastAsia" w:ascii="宋体" w:hAnsi="Times New Roman"/>
                <w:kern w:val="0"/>
                <w:szCs w:val="20"/>
              </w:rPr>
              <w:t>值（5</w:t>
            </w:r>
            <w:r>
              <w:rPr>
                <w:rFonts w:ascii="宋体" w:hAnsi="Times New Roman"/>
                <w:kern w:val="0"/>
                <w:szCs w:val="20"/>
              </w:rPr>
              <w:t>%</w:t>
            </w:r>
            <w:r>
              <w:rPr>
                <w:rFonts w:hint="eastAsia" w:ascii="宋体" w:hAnsi="Times New Roman"/>
                <w:kern w:val="0"/>
                <w:szCs w:val="20"/>
              </w:rPr>
              <w:t>，2</w:t>
            </w:r>
            <w:r>
              <w:rPr>
                <w:rFonts w:ascii="宋体" w:hAnsi="Times New Roman"/>
                <w:kern w:val="0"/>
                <w:szCs w:val="20"/>
              </w:rPr>
              <w:t>0</w:t>
            </w:r>
            <w:r>
              <w:rPr>
                <w:rFonts w:hint="eastAsia" w:ascii="宋体" w:hAnsi="Times New Roman"/>
                <w:kern w:val="0"/>
                <w:szCs w:val="20"/>
              </w:rPr>
              <w:t>℃）</w:t>
            </w:r>
          </w:p>
        </w:tc>
        <w:tc>
          <w:tcPr>
            <w:tcW w:w="2552" w:type="dxa"/>
            <w:tcBorders>
              <w:top w:val="single" w:color="auto" w:sz="4" w:space="0"/>
              <w:left w:val="single" w:color="auto" w:sz="4" w:space="0"/>
              <w:bottom w:val="single" w:color="auto" w:sz="12" w:space="0"/>
              <w:right w:val="single" w:color="auto" w:sz="4" w:space="0"/>
            </w:tcBorders>
            <w:vAlign w:val="center"/>
          </w:tcPr>
          <w:p w14:paraId="30D570B3">
            <w:pPr>
              <w:widowControl/>
              <w:autoSpaceDE w:val="0"/>
              <w:autoSpaceDN w:val="0"/>
              <w:adjustRightInd/>
              <w:spacing w:line="240" w:lineRule="auto"/>
              <w:ind w:firstLine="420" w:firstLineChars="200"/>
              <w:rPr>
                <w:rFonts w:ascii="宋体" w:hAnsi="Times New Roman"/>
                <w:kern w:val="0"/>
                <w:szCs w:val="20"/>
              </w:rPr>
            </w:pPr>
            <w:r>
              <w:rPr>
                <w:rFonts w:hint="eastAsia" w:ascii="宋体" w:hAnsi="Times New Roman"/>
                <w:kern w:val="0"/>
                <w:szCs w:val="20"/>
              </w:rPr>
              <w:t>3</w:t>
            </w:r>
            <w:r>
              <w:rPr>
                <w:rFonts w:ascii="宋体" w:hAnsi="Times New Roman"/>
                <w:kern w:val="0"/>
                <w:szCs w:val="20"/>
              </w:rPr>
              <w:t>.5~4.5</w:t>
            </w:r>
          </w:p>
        </w:tc>
        <w:tc>
          <w:tcPr>
            <w:tcW w:w="0" w:type="auto"/>
            <w:vMerge w:val="continue"/>
            <w:tcBorders>
              <w:top w:val="single" w:color="auto" w:sz="4" w:space="0"/>
              <w:left w:val="single" w:color="auto" w:sz="4" w:space="0"/>
              <w:bottom w:val="single" w:color="auto" w:sz="4" w:space="0"/>
              <w:right w:val="single" w:color="auto" w:sz="12" w:space="0"/>
            </w:tcBorders>
            <w:vAlign w:val="center"/>
          </w:tcPr>
          <w:p w14:paraId="7E8057A5">
            <w:pPr>
              <w:widowControl/>
              <w:autoSpaceDE w:val="0"/>
              <w:autoSpaceDN w:val="0"/>
              <w:adjustRightInd/>
              <w:spacing w:line="240" w:lineRule="auto"/>
              <w:ind w:firstLine="420" w:firstLineChars="200"/>
              <w:rPr>
                <w:rFonts w:ascii="宋体" w:hAnsi="Times New Roman"/>
                <w:kern w:val="0"/>
                <w:szCs w:val="20"/>
              </w:rPr>
            </w:pPr>
          </w:p>
        </w:tc>
      </w:tr>
    </w:tbl>
    <w:p w14:paraId="30CDBA5F">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 xml:space="preserve"> </w:t>
      </w:r>
    </w:p>
    <w:p w14:paraId="7B8E3B84">
      <w:pPr>
        <w:pStyle w:val="56"/>
        <w:ind w:firstLine="420"/>
      </w:pPr>
    </w:p>
    <w:p w14:paraId="02E189F0">
      <w:pPr>
        <w:pStyle w:val="56"/>
        <w:ind w:firstLine="420"/>
      </w:pPr>
    </w:p>
    <w:p w14:paraId="0C861B2C">
      <w:pPr>
        <w:pStyle w:val="56"/>
        <w:ind w:firstLine="420"/>
        <w:sectPr>
          <w:pgSz w:w="11906" w:h="16838"/>
          <w:pgMar w:top="1928" w:right="1134" w:bottom="1134" w:left="1134" w:header="1418" w:footer="1134" w:gutter="284"/>
          <w:cols w:space="425" w:num="1"/>
          <w:formProt w:val="0"/>
          <w:docGrid w:type="lines" w:linePitch="312" w:charSpace="0"/>
        </w:sectPr>
      </w:pPr>
    </w:p>
    <w:p w14:paraId="6B7B7A78">
      <w:pPr>
        <w:pStyle w:val="198"/>
        <w:rPr>
          <w:vanish w:val="0"/>
        </w:rPr>
      </w:pPr>
    </w:p>
    <w:p w14:paraId="4E486B96">
      <w:pPr>
        <w:pStyle w:val="199"/>
        <w:rPr>
          <w:vanish w:val="0"/>
        </w:rPr>
      </w:pPr>
    </w:p>
    <w:p w14:paraId="578BFE47">
      <w:pPr>
        <w:pStyle w:val="76"/>
        <w:spacing w:after="156"/>
      </w:pPr>
      <w:r>
        <w:br w:type="textWrapping"/>
      </w:r>
      <w:bookmarkStart w:id="83" w:name="_Toc163045595"/>
      <w:r>
        <w:rPr>
          <w:rFonts w:hint="eastAsia"/>
        </w:rPr>
        <w:t>（资料性）</w:t>
      </w:r>
      <w:r>
        <w:br w:type="textWrapping"/>
      </w:r>
      <w:r>
        <w:rPr>
          <w:rFonts w:hint="eastAsia"/>
        </w:rPr>
        <w:t>碱式氯化铜指标参数分析方法</w:t>
      </w:r>
      <w:bookmarkEnd w:id="83"/>
    </w:p>
    <w:p w14:paraId="5774E9CE">
      <w:pPr>
        <w:pStyle w:val="56"/>
        <w:ind w:firstLine="420"/>
      </w:pPr>
    </w:p>
    <w:p w14:paraId="231A6A1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B.1 一般规定</w:t>
      </w:r>
    </w:p>
    <w:p w14:paraId="5B7B69B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附录B 中所用试剂和水，在没有注明其他要求时，均指分析纯试剂和GB/T6682—2008中规定的三级水。试验中所用标准滴定溶液、杂质标准溶液、制剂及制品，在没有注明其他要求时，均按HG/T 3696.1、HG/T 3696.2、HG/T 3696.3的规定制备。</w:t>
      </w:r>
    </w:p>
    <w:p w14:paraId="6F460236">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 碱式氯化铜含量的测定</w:t>
      </w:r>
    </w:p>
    <w:p w14:paraId="6A221F7E">
      <w:pPr>
        <w:widowControl/>
        <w:autoSpaceDE w:val="0"/>
        <w:autoSpaceDN w:val="0"/>
        <w:adjustRightInd/>
        <w:spacing w:line="240" w:lineRule="auto"/>
        <w:ind w:firstLine="422" w:firstLineChars="200"/>
        <w:rPr>
          <w:rFonts w:ascii="宋体" w:hAnsi="Times New Roman"/>
          <w:b/>
          <w:bCs/>
          <w:kern w:val="0"/>
          <w:szCs w:val="20"/>
        </w:rPr>
      </w:pPr>
      <w:bookmarkStart w:id="84" w:name="_Toc161999353"/>
      <w:bookmarkEnd w:id="84"/>
      <w:r>
        <w:rPr>
          <w:rFonts w:ascii="宋体" w:hAnsi="Times New Roman"/>
          <w:b/>
          <w:bCs/>
          <w:kern w:val="0"/>
          <w:szCs w:val="20"/>
        </w:rPr>
        <w:t>B.2.1 方法提要</w:t>
      </w:r>
    </w:p>
    <w:p w14:paraId="3AA16040">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试样加硫酸溶液和适量水溶解，加入适量的碘化钾与二价铜作用，析出等量碘，以淀粉为指示剂，用硫代硫酸钠标准滴定溶液滴定析出的碘。通过硫代硫酸钠的消耗量计算出碱式氯化铜的含量。</w:t>
      </w:r>
    </w:p>
    <w:p w14:paraId="61105F78">
      <w:pPr>
        <w:widowControl/>
        <w:autoSpaceDE w:val="0"/>
        <w:autoSpaceDN w:val="0"/>
        <w:adjustRightInd/>
        <w:spacing w:line="240" w:lineRule="auto"/>
        <w:ind w:firstLine="422" w:firstLineChars="200"/>
        <w:rPr>
          <w:rFonts w:ascii="宋体" w:hAnsi="Times New Roman"/>
          <w:b/>
          <w:bCs/>
          <w:kern w:val="0"/>
          <w:szCs w:val="20"/>
        </w:rPr>
      </w:pPr>
      <w:bookmarkStart w:id="85" w:name="_Toc161999354"/>
      <w:bookmarkEnd w:id="85"/>
      <w:r>
        <w:rPr>
          <w:rFonts w:ascii="宋体" w:hAnsi="Times New Roman"/>
          <w:b/>
          <w:bCs/>
          <w:kern w:val="0"/>
          <w:szCs w:val="20"/>
        </w:rPr>
        <w:t>B.2.2 试剂</w:t>
      </w:r>
    </w:p>
    <w:p w14:paraId="4260A49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B.2.2.1 碘化钾。</w:t>
      </w:r>
    </w:p>
    <w:p w14:paraId="7ABE503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B.2.2.2 硫酸。</w:t>
      </w:r>
    </w:p>
    <w:p w14:paraId="4DD4308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B.2.2.3 乙酸溶液：36%。</w:t>
      </w:r>
    </w:p>
    <w:p w14:paraId="2D38756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B.2.2.4 氟化钠饱和溶液。</w:t>
      </w:r>
    </w:p>
    <w:p w14:paraId="21A21333">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B.2.2.5 碳酸钠饱和溶液。</w:t>
      </w:r>
    </w:p>
    <w:p w14:paraId="2BC1EC7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B.2.2.6 硫代硫酸钠标准滴定溶液：c(NB2S2O3)≈0.1mol/L。</w:t>
      </w:r>
    </w:p>
    <w:p w14:paraId="3823E93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B.2.2.7 淀粉指示液：10g/L。</w:t>
      </w:r>
    </w:p>
    <w:p w14:paraId="5AFDF034">
      <w:pPr>
        <w:widowControl/>
        <w:autoSpaceDE w:val="0"/>
        <w:autoSpaceDN w:val="0"/>
        <w:adjustRightInd/>
        <w:spacing w:line="240" w:lineRule="auto"/>
        <w:ind w:firstLine="422" w:firstLineChars="200"/>
        <w:rPr>
          <w:rFonts w:ascii="宋体" w:hAnsi="Times New Roman"/>
          <w:b/>
          <w:bCs/>
          <w:kern w:val="0"/>
          <w:szCs w:val="20"/>
        </w:rPr>
      </w:pPr>
      <w:bookmarkStart w:id="86" w:name="_Toc161999355"/>
      <w:bookmarkEnd w:id="86"/>
      <w:r>
        <w:rPr>
          <w:rFonts w:ascii="宋体" w:hAnsi="Times New Roman"/>
          <w:b/>
          <w:bCs/>
          <w:kern w:val="0"/>
          <w:szCs w:val="20"/>
        </w:rPr>
        <w:t>B.2.3 分析步骤</w:t>
      </w:r>
    </w:p>
    <w:p w14:paraId="5A6281A3">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称取约0.4g试样，精确至0.0002g，置于碘量瓶中，加入少量水润湿并分散试样，加0.4mL硫酸溶解试样，加水至约100mL，逐滴加入碳酸钠饱和溶液，直至有微量沉淀为止，加入4mL乙酸溶液，加2mL氟化钠饱和溶液，再加入3g碘化钾。暗处放置10min，用硫代硫酸钠标准滴定溶液滴定至溶液变为淡黄色，加入3mL淀粉指示液，继续滴定至溶液蓝色消失，且保持30s不变即为终点。</w:t>
      </w:r>
    </w:p>
    <w:p w14:paraId="48221DE9">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同时进行空白试验，空白试验溶液除不加试样外，其他加入试剂的种类和量(标准滴定溶液除外)与试验溶液相同。</w:t>
      </w:r>
    </w:p>
    <w:p w14:paraId="215351A4">
      <w:pPr>
        <w:widowControl/>
        <w:autoSpaceDE w:val="0"/>
        <w:autoSpaceDN w:val="0"/>
        <w:adjustRightInd/>
        <w:spacing w:line="240" w:lineRule="auto"/>
        <w:ind w:firstLine="422" w:firstLineChars="200"/>
        <w:rPr>
          <w:rFonts w:ascii="宋体" w:hAnsi="Times New Roman"/>
          <w:b/>
          <w:bCs/>
          <w:kern w:val="0"/>
          <w:szCs w:val="20"/>
        </w:rPr>
      </w:pPr>
      <w:bookmarkStart w:id="87" w:name="_Toc161999356"/>
      <w:bookmarkEnd w:id="87"/>
      <w:r>
        <w:rPr>
          <w:rFonts w:ascii="宋体" w:hAnsi="Times New Roman"/>
          <w:b/>
          <w:bCs/>
          <w:kern w:val="0"/>
          <w:szCs w:val="20"/>
        </w:rPr>
        <w:t>B.2.4 结果计算</w:t>
      </w:r>
    </w:p>
    <w:p w14:paraId="018EBFA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碱式氯化铜含量以碱式氯化铜[Cu</w:t>
      </w:r>
      <w:r>
        <w:rPr>
          <w:rFonts w:ascii="宋体" w:hAnsi="Times New Roman"/>
          <w:kern w:val="0"/>
          <w:szCs w:val="20"/>
          <w:vertAlign w:val="subscript"/>
        </w:rPr>
        <w:t>2</w:t>
      </w:r>
      <w:r>
        <w:rPr>
          <w:rFonts w:ascii="宋体" w:hAnsi="Times New Roman"/>
          <w:kern w:val="0"/>
          <w:szCs w:val="20"/>
        </w:rPr>
        <w:t>(OH)</w:t>
      </w:r>
      <w:r>
        <w:rPr>
          <w:rFonts w:ascii="宋体" w:hAnsi="Times New Roman"/>
          <w:kern w:val="0"/>
          <w:szCs w:val="20"/>
          <w:vertAlign w:val="subscript"/>
        </w:rPr>
        <w:t>3</w:t>
      </w:r>
      <w:r>
        <w:rPr>
          <w:rFonts w:ascii="宋体" w:hAnsi="Times New Roman"/>
          <w:kern w:val="0"/>
          <w:szCs w:val="20"/>
        </w:rPr>
        <w:t>Cl]的质量分数w</w:t>
      </w:r>
      <w:r>
        <w:rPr>
          <w:rFonts w:ascii="宋体" w:hAnsi="Times New Roman"/>
          <w:kern w:val="0"/>
          <w:szCs w:val="20"/>
          <w:vertAlign w:val="subscript"/>
        </w:rPr>
        <w:t>1</w:t>
      </w:r>
      <w:r>
        <w:rPr>
          <w:rFonts w:ascii="宋体" w:hAnsi="Times New Roman"/>
          <w:kern w:val="0"/>
          <w:szCs w:val="20"/>
        </w:rPr>
        <w:t xml:space="preserve"> 计，按式(B.1)计算：</w:t>
      </w:r>
    </w:p>
    <w:p w14:paraId="4CA75E2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1950720" cy="391795"/>
            <wp:effectExtent l="0" t="0" r="0" b="825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50720" cy="391795"/>
                    </a:xfrm>
                    <a:prstGeom prst="rect">
                      <a:avLst/>
                    </a:prstGeom>
                    <a:noFill/>
                    <a:ln>
                      <a:noFill/>
                    </a:ln>
                  </pic:spPr>
                </pic:pic>
              </a:graphicData>
            </a:graphic>
          </wp:inline>
        </w:drawing>
      </w:r>
      <w:r>
        <w:rPr>
          <w:rFonts w:ascii="宋体" w:hAnsi="Times New Roman"/>
          <w:kern w:val="0"/>
          <w:szCs w:val="20"/>
        </w:rPr>
        <w:t>……………………(B.1)</w:t>
      </w:r>
    </w:p>
    <w:p w14:paraId="05BA9AE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碱式氯化铜含量以铜(Cu)的质量分数w</w:t>
      </w:r>
      <w:r>
        <w:rPr>
          <w:rFonts w:ascii="宋体" w:hAnsi="Times New Roman"/>
          <w:kern w:val="0"/>
          <w:szCs w:val="20"/>
          <w:vertAlign w:val="subscript"/>
        </w:rPr>
        <w:t>2</w:t>
      </w:r>
      <w:r>
        <w:rPr>
          <w:rFonts w:ascii="宋体" w:hAnsi="Times New Roman"/>
          <w:kern w:val="0"/>
          <w:szCs w:val="20"/>
        </w:rPr>
        <w:t xml:space="preserve"> 计，按式(B.2)计算：</w:t>
      </w:r>
    </w:p>
    <w:p w14:paraId="7553833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1950720" cy="391795"/>
            <wp:effectExtent l="0" t="0" r="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50720" cy="391795"/>
                    </a:xfrm>
                    <a:prstGeom prst="rect">
                      <a:avLst/>
                    </a:prstGeom>
                    <a:noFill/>
                    <a:ln>
                      <a:noFill/>
                    </a:ln>
                  </pic:spPr>
                </pic:pic>
              </a:graphicData>
            </a:graphic>
          </wp:inline>
        </w:drawing>
      </w:r>
      <w:r>
        <w:rPr>
          <w:rFonts w:ascii="宋体" w:hAnsi="Times New Roman"/>
          <w:kern w:val="0"/>
          <w:szCs w:val="20"/>
        </w:rPr>
        <w:t>……………………(B.2)</w:t>
      </w:r>
    </w:p>
    <w:p w14:paraId="0F3EC8D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式中：</w:t>
      </w:r>
    </w:p>
    <w:p w14:paraId="5B9C682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V——滴定试验溶液所消耗硫代硫酸钠标准滴定溶液的体积的数值，单位为毫升(mL)；</w:t>
      </w:r>
    </w:p>
    <w:p w14:paraId="06558D6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V</w:t>
      </w:r>
      <w:r>
        <w:rPr>
          <w:rFonts w:ascii="宋体" w:hAnsi="Times New Roman"/>
          <w:kern w:val="0"/>
          <w:szCs w:val="20"/>
          <w:vertAlign w:val="subscript"/>
        </w:rPr>
        <w:t>0</w:t>
      </w:r>
      <w:r>
        <w:rPr>
          <w:rFonts w:ascii="宋体" w:hAnsi="Times New Roman"/>
          <w:kern w:val="0"/>
          <w:szCs w:val="20"/>
        </w:rPr>
        <w:t>——滴定空白试验溶液所消耗硫代硫酸钠标准滴定溶液的体积的数值，单位为毫升(mL)；</w:t>
      </w:r>
    </w:p>
    <w:p w14:paraId="2584CEC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c——硫代硫酸钠标准滴定溶液浓度的准确数值，单位为摩尔每升(mol/L)；</w:t>
      </w:r>
    </w:p>
    <w:p w14:paraId="01284F0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m——试料的质量的数值，单位为克(g)；</w:t>
      </w:r>
    </w:p>
    <w:p w14:paraId="005F4E6E">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w:t>
      </w:r>
      <w:r>
        <w:rPr>
          <w:rFonts w:ascii="宋体" w:hAnsi="Times New Roman"/>
          <w:kern w:val="0"/>
          <w:szCs w:val="20"/>
          <w:vertAlign w:val="subscript"/>
        </w:rPr>
        <w:t>1</w:t>
      </w:r>
      <w:r>
        <w:rPr>
          <w:rFonts w:ascii="宋体" w:hAnsi="Times New Roman"/>
          <w:kern w:val="0"/>
          <w:szCs w:val="20"/>
        </w:rPr>
        <w:t>——碱式氯化铜[1/2 Cu</w:t>
      </w:r>
      <w:r>
        <w:rPr>
          <w:rFonts w:ascii="宋体" w:hAnsi="Times New Roman"/>
          <w:kern w:val="0"/>
          <w:szCs w:val="20"/>
          <w:vertAlign w:val="subscript"/>
        </w:rPr>
        <w:t>2</w:t>
      </w:r>
      <w:r>
        <w:rPr>
          <w:rFonts w:ascii="宋体" w:hAnsi="Times New Roman"/>
          <w:kern w:val="0"/>
          <w:szCs w:val="20"/>
        </w:rPr>
        <w:t>(OH)</w:t>
      </w:r>
      <w:r>
        <w:rPr>
          <w:rFonts w:ascii="宋体" w:hAnsi="Times New Roman"/>
          <w:kern w:val="0"/>
          <w:szCs w:val="20"/>
          <w:vertAlign w:val="subscript"/>
        </w:rPr>
        <w:t>3</w:t>
      </w:r>
      <w:r>
        <w:rPr>
          <w:rFonts w:ascii="宋体" w:hAnsi="Times New Roman"/>
          <w:kern w:val="0"/>
          <w:szCs w:val="20"/>
        </w:rPr>
        <w:t>Cl]的摩尔质量的数值，单位为克每摩尔(g/mol)(M=106.8)；</w:t>
      </w:r>
    </w:p>
    <w:p w14:paraId="7075A62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w:t>
      </w:r>
      <w:r>
        <w:rPr>
          <w:rFonts w:ascii="宋体" w:hAnsi="Times New Roman"/>
          <w:kern w:val="0"/>
          <w:szCs w:val="20"/>
          <w:vertAlign w:val="subscript"/>
        </w:rPr>
        <w:t>2</w:t>
      </w:r>
      <w:r>
        <w:rPr>
          <w:rFonts w:ascii="宋体" w:hAnsi="Times New Roman"/>
          <w:kern w:val="0"/>
          <w:szCs w:val="20"/>
        </w:rPr>
        <w:t>——铜(Cu)的摩尔质量的数值，单位为克每摩尔(g/mol)(M=63.55)。</w:t>
      </w:r>
    </w:p>
    <w:p w14:paraId="2F8C845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取平行测定结果的算术平均值为测定结果，两次平行测定结果的绝对差值不大于0.3%。</w:t>
      </w:r>
    </w:p>
    <w:p w14:paraId="6CAD978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B.3 砷含量的测定</w:t>
      </w:r>
    </w:p>
    <w:p w14:paraId="107FBE76">
      <w:pPr>
        <w:widowControl/>
        <w:autoSpaceDE w:val="0"/>
        <w:autoSpaceDN w:val="0"/>
        <w:adjustRightInd/>
        <w:spacing w:line="240" w:lineRule="auto"/>
        <w:ind w:firstLine="422" w:firstLineChars="200"/>
        <w:rPr>
          <w:rFonts w:ascii="宋体" w:hAnsi="Times New Roman"/>
          <w:b/>
          <w:bCs/>
          <w:kern w:val="0"/>
          <w:szCs w:val="20"/>
        </w:rPr>
      </w:pPr>
      <w:bookmarkStart w:id="88" w:name="_Toc161999357"/>
      <w:bookmarkEnd w:id="88"/>
      <w:r>
        <w:rPr>
          <w:rFonts w:ascii="宋体" w:hAnsi="Times New Roman"/>
          <w:b/>
          <w:bCs/>
          <w:kern w:val="0"/>
          <w:szCs w:val="20"/>
        </w:rPr>
        <w:t>B.3.1 二乙基二硫代氨基甲酸银光度法(仲裁法)</w:t>
      </w:r>
    </w:p>
    <w:p w14:paraId="50C376A8">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B.3.1.1 原理</w:t>
      </w:r>
    </w:p>
    <w:p w14:paraId="0F77667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同GB/T23947.1—2009中第2章。</w:t>
      </w:r>
    </w:p>
    <w:p w14:paraId="005A0B76">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B.3.1.2 试剂</w:t>
      </w:r>
    </w:p>
    <w:p w14:paraId="02C442E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同GB/T23947.1—2009中第3章。</w:t>
      </w:r>
    </w:p>
    <w:p w14:paraId="7CC75FF8">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B.3.1.3 仪器</w:t>
      </w:r>
    </w:p>
    <w:p w14:paraId="487DE2C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同GB/T23947.1—2009中第4章。</w:t>
      </w:r>
    </w:p>
    <w:p w14:paraId="7BB4332D">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B.3.1.4 分析步骤</w:t>
      </w:r>
    </w:p>
    <w:p w14:paraId="425A700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称取约1g试样，精确至0.0002g，置于烧杯中，加入少量水润湿，加入2mL盐酸，加适量水溶解后，全部转移至100mL容量瓶中，用水稀释至刻度，摇匀。移取10mL试样溶液至测砷装置的锥形瓶中，加入2g碘化钾，加水至约40mL，摇匀，然后按照GB/T23947.1—2009中5.4规定进行测定。</w:t>
      </w:r>
    </w:p>
    <w:p w14:paraId="05EA9200">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工作曲线的绘制按照GB/T23947.1—2009中5.3规定进行操作。</w:t>
      </w:r>
    </w:p>
    <w:p w14:paraId="5A388815">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B.3.1.5 结果计算</w:t>
      </w:r>
    </w:p>
    <w:p w14:paraId="24751B4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砷含量的质量分数以w</w:t>
      </w:r>
      <w:r>
        <w:rPr>
          <w:rFonts w:ascii="宋体" w:hAnsi="Times New Roman"/>
          <w:kern w:val="0"/>
          <w:szCs w:val="20"/>
          <w:vertAlign w:val="subscript"/>
        </w:rPr>
        <w:t>3</w:t>
      </w:r>
      <w:r>
        <w:rPr>
          <w:rFonts w:ascii="宋体" w:hAnsi="Times New Roman"/>
          <w:kern w:val="0"/>
          <w:szCs w:val="20"/>
        </w:rPr>
        <w:t xml:space="preserve"> 计，按式(B.3)计算：</w:t>
      </w:r>
    </w:p>
    <w:p w14:paraId="240FA23E">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1541145" cy="391795"/>
            <wp:effectExtent l="0" t="0" r="1905"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541145" cy="391795"/>
                    </a:xfrm>
                    <a:prstGeom prst="rect">
                      <a:avLst/>
                    </a:prstGeom>
                    <a:noFill/>
                    <a:ln>
                      <a:noFill/>
                    </a:ln>
                  </pic:spPr>
                </pic:pic>
              </a:graphicData>
            </a:graphic>
          </wp:inline>
        </w:drawing>
      </w:r>
      <w:r>
        <w:rPr>
          <w:rFonts w:ascii="宋体" w:hAnsi="Times New Roman"/>
          <w:kern w:val="0"/>
          <w:szCs w:val="20"/>
        </w:rPr>
        <w:t>……………………(B.3)</w:t>
      </w:r>
    </w:p>
    <w:p w14:paraId="2A5BA36E">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式中：</w:t>
      </w:r>
    </w:p>
    <w:p w14:paraId="0A7CCD2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w:t>
      </w:r>
      <w:r>
        <w:rPr>
          <w:rFonts w:ascii="宋体" w:hAnsi="Times New Roman"/>
          <w:kern w:val="0"/>
          <w:szCs w:val="20"/>
          <w:vertAlign w:val="subscript"/>
        </w:rPr>
        <w:t>1</w:t>
      </w:r>
      <w:r>
        <w:rPr>
          <w:rFonts w:ascii="宋体" w:hAnsi="Times New Roman"/>
          <w:kern w:val="0"/>
          <w:szCs w:val="20"/>
        </w:rPr>
        <w:t>——试验溶液中砷的质量的数值，单位为毫克(mg)；</w:t>
      </w:r>
    </w:p>
    <w:p w14:paraId="2DD07BF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m——试料的质量的数值，单位为克(g)。</w:t>
      </w:r>
    </w:p>
    <w:p w14:paraId="4728203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取平行测定结果的算术平均值为测定结果，两次平行测定结果的绝对差值不大于0.0005%。</w:t>
      </w:r>
    </w:p>
    <w:p w14:paraId="2696FA15">
      <w:pPr>
        <w:widowControl/>
        <w:autoSpaceDE w:val="0"/>
        <w:autoSpaceDN w:val="0"/>
        <w:adjustRightInd/>
        <w:spacing w:line="240" w:lineRule="auto"/>
        <w:ind w:firstLine="422" w:firstLineChars="200"/>
        <w:rPr>
          <w:rFonts w:ascii="宋体" w:hAnsi="Times New Roman"/>
          <w:b/>
          <w:bCs/>
          <w:kern w:val="0"/>
          <w:szCs w:val="20"/>
        </w:rPr>
      </w:pPr>
      <w:bookmarkStart w:id="89" w:name="_Toc161999358"/>
      <w:bookmarkEnd w:id="89"/>
      <w:r>
        <w:rPr>
          <w:rFonts w:ascii="宋体" w:hAnsi="Times New Roman"/>
          <w:b/>
          <w:bCs/>
          <w:kern w:val="0"/>
          <w:szCs w:val="20"/>
        </w:rPr>
        <w:t>B.3.2 电感耦合等离子体发射光谱法</w:t>
      </w:r>
    </w:p>
    <w:p w14:paraId="11AAE6D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按B.4.2的规定进行测定。</w:t>
      </w:r>
    </w:p>
    <w:p w14:paraId="292A9E5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 铅含量、镉含量的测定</w:t>
      </w:r>
    </w:p>
    <w:p w14:paraId="64FA91C1">
      <w:pPr>
        <w:widowControl/>
        <w:autoSpaceDE w:val="0"/>
        <w:autoSpaceDN w:val="0"/>
        <w:adjustRightInd/>
        <w:spacing w:line="240" w:lineRule="auto"/>
        <w:ind w:firstLine="422" w:firstLineChars="200"/>
        <w:rPr>
          <w:rFonts w:ascii="宋体" w:hAnsi="Times New Roman"/>
          <w:b/>
          <w:bCs/>
          <w:kern w:val="0"/>
          <w:szCs w:val="20"/>
        </w:rPr>
      </w:pPr>
      <w:bookmarkStart w:id="90" w:name="_Toc161999359"/>
      <w:bookmarkEnd w:id="90"/>
      <w:r>
        <w:rPr>
          <w:rFonts w:ascii="宋体" w:hAnsi="Times New Roman"/>
          <w:b/>
          <w:bCs/>
          <w:kern w:val="0"/>
          <w:szCs w:val="20"/>
        </w:rPr>
        <w:t>B.4.1 原子吸收分光光度法(仲裁法)</w:t>
      </w:r>
    </w:p>
    <w:p w14:paraId="0B2BD707">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B.4.1.1 方法提要</w:t>
      </w:r>
    </w:p>
    <w:p w14:paraId="55BD00F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在稀硝酸介质中，于原子吸收分光光度计在相应的离子波长处，使用空气-乙炔火焰，采用标准加入法测定。</w:t>
      </w:r>
    </w:p>
    <w:p w14:paraId="4A0D8395">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B.4.1.2 试剂</w:t>
      </w:r>
    </w:p>
    <w:p w14:paraId="1695D50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B.4.1.2.1 硝酸溶液：1+1。</w:t>
      </w:r>
    </w:p>
    <w:p w14:paraId="0D36FE2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B.4.1.2.2 铅标准溶液：1mL溶液含铅(Pb)1.0mg。</w:t>
      </w:r>
    </w:p>
    <w:p w14:paraId="7CF26FA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B.4.1.2.3 镉标准溶液：1mL溶液含镉(Cd)0.050mg。</w:t>
      </w:r>
    </w:p>
    <w:p w14:paraId="211470F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用移液管移取5.00mL按HG/T3696.2配制的镉标准溶液，置于100mL容量瓶中，用水稀释至刻度，摇匀。</w:t>
      </w:r>
    </w:p>
    <w:p w14:paraId="0DEF26C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B.4.1.2.4 水：符合GB/T6682—2008规定的二级水。</w:t>
      </w:r>
    </w:p>
    <w:p w14:paraId="3A40ACB0">
      <w:pPr>
        <w:widowControl/>
        <w:autoSpaceDE w:val="0"/>
        <w:autoSpaceDN w:val="0"/>
        <w:adjustRightInd/>
        <w:spacing w:line="240" w:lineRule="auto"/>
        <w:ind w:firstLine="422" w:firstLineChars="200"/>
        <w:rPr>
          <w:rFonts w:ascii="宋体" w:hAnsi="Times New Roman"/>
          <w:kern w:val="0"/>
          <w:szCs w:val="20"/>
        </w:rPr>
      </w:pPr>
      <w:r>
        <w:rPr>
          <w:rFonts w:ascii="宋体" w:hAnsi="Times New Roman"/>
          <w:b/>
          <w:bCs/>
          <w:kern w:val="0"/>
          <w:szCs w:val="20"/>
        </w:rPr>
        <w:t>B.4.1.3 仪器</w:t>
      </w:r>
    </w:p>
    <w:p w14:paraId="509D531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原子吸收分光光度计并配备有铅、镉空心阴极灯。</w:t>
      </w:r>
    </w:p>
    <w:p w14:paraId="768F7E82">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B.4.1.4 分析步骤</w:t>
      </w:r>
    </w:p>
    <w:p w14:paraId="5096093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B.4.1.4.1 试验溶液的制备</w:t>
      </w:r>
    </w:p>
    <w:p w14:paraId="1CEACB0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称取约10g试样，精确至0.0002g，置于400mL烧杯中，加40mL硝酸溶液溶解，全部转移至250mL容量瓶中，用水稀释至刻度，摇匀。</w:t>
      </w:r>
    </w:p>
    <w:p w14:paraId="5A5EABB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B.4.1.4.2 测定</w:t>
      </w:r>
    </w:p>
    <w:p w14:paraId="29FF735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用移液管分别移取25mL试验溶液于4个100mL容量瓶中，再用移液管分别加入0.00 mL、0.50mL、1.00mL、2.00mL铅标准溶液、镉标准溶液，用水稀释至刻度，摇匀。</w:t>
      </w:r>
    </w:p>
    <w:p w14:paraId="0947CF23">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仪器按照铅波长为283.3nm、镉波长为228.8nm 调至最佳条件，测量上述溶液吸光度。</w:t>
      </w:r>
    </w:p>
    <w:p w14:paraId="2DF7225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以相应待测离子的质量浓度为横坐标，对应的吸光度为纵坐标，绘制工作曲线，将曲线反向延长与横轴相交处，即为试验溶液中待测离子的质量浓度(mg/mL)。</w:t>
      </w:r>
    </w:p>
    <w:p w14:paraId="5CE8ECED">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B.4.1.5 结果计算</w:t>
      </w:r>
    </w:p>
    <w:p w14:paraId="1FF91AE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待测离子的质量分数以w</w:t>
      </w:r>
      <w:r>
        <w:rPr>
          <w:rFonts w:ascii="宋体" w:hAnsi="Times New Roman"/>
          <w:kern w:val="0"/>
          <w:szCs w:val="20"/>
          <w:vertAlign w:val="subscript"/>
        </w:rPr>
        <w:t>i</w:t>
      </w:r>
      <w:r>
        <w:rPr>
          <w:rFonts w:ascii="宋体" w:hAnsi="Times New Roman"/>
          <w:kern w:val="0"/>
          <w:szCs w:val="20"/>
        </w:rPr>
        <w:t xml:space="preserve"> 计，按式(B.4)计算：</w:t>
      </w:r>
    </w:p>
    <w:p w14:paraId="52694B8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1567815" cy="391795"/>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1567815" cy="391795"/>
                    </a:xfrm>
                    <a:prstGeom prst="rect">
                      <a:avLst/>
                    </a:prstGeom>
                    <a:noFill/>
                    <a:ln>
                      <a:noFill/>
                    </a:ln>
                  </pic:spPr>
                </pic:pic>
              </a:graphicData>
            </a:graphic>
          </wp:inline>
        </w:drawing>
      </w:r>
      <w:r>
        <w:rPr>
          <w:rFonts w:ascii="宋体" w:hAnsi="Times New Roman"/>
          <w:kern w:val="0"/>
          <w:szCs w:val="20"/>
        </w:rPr>
        <w:t>……………………(B.4)</w:t>
      </w:r>
    </w:p>
    <w:p w14:paraId="43FEEF3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式中：</w:t>
      </w:r>
    </w:p>
    <w:p w14:paraId="26EE74A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426720" cy="2959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426720" cy="295910"/>
                    </a:xfrm>
                    <a:prstGeom prst="rect">
                      <a:avLst/>
                    </a:prstGeom>
                    <a:noFill/>
                    <a:ln>
                      <a:noFill/>
                    </a:ln>
                  </pic:spPr>
                </pic:pic>
              </a:graphicData>
            </a:graphic>
          </wp:inline>
        </w:drawing>
      </w:r>
      <w:r>
        <w:rPr>
          <w:rFonts w:ascii="宋体" w:hAnsi="Times New Roman"/>
          <w:kern w:val="0"/>
          <w:szCs w:val="20"/>
        </w:rPr>
        <w:t>——试验溶液中待测离子的质量浓度的数值，单位为毫克每毫升(mg/mL)；</w:t>
      </w:r>
    </w:p>
    <w:p w14:paraId="13B28B7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m——试料的质量的数值，单位为克(g)。</w:t>
      </w:r>
    </w:p>
    <w:p w14:paraId="5C50B31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取平行测定结果的算术平均值为测定结果，两次平行测定结果的绝对差值：铅含量不大于0.001%，镉含量不大于0.0005%。</w:t>
      </w:r>
    </w:p>
    <w:p w14:paraId="5CF028EC">
      <w:pPr>
        <w:widowControl/>
        <w:autoSpaceDE w:val="0"/>
        <w:autoSpaceDN w:val="0"/>
        <w:adjustRightInd/>
        <w:spacing w:line="240" w:lineRule="auto"/>
        <w:ind w:firstLine="422" w:firstLineChars="200"/>
        <w:rPr>
          <w:rFonts w:ascii="宋体" w:hAnsi="Times New Roman"/>
          <w:b/>
          <w:bCs/>
          <w:kern w:val="0"/>
          <w:szCs w:val="20"/>
        </w:rPr>
      </w:pPr>
      <w:bookmarkStart w:id="91" w:name="_Toc161999360"/>
      <w:bookmarkEnd w:id="91"/>
      <w:r>
        <w:rPr>
          <w:rFonts w:ascii="宋体" w:hAnsi="Times New Roman"/>
          <w:b/>
          <w:bCs/>
          <w:kern w:val="0"/>
          <w:szCs w:val="20"/>
        </w:rPr>
        <w:t>B.4.2 电感耦合等离子体发射光谱法</w:t>
      </w:r>
    </w:p>
    <w:p w14:paraId="6C9A0C32">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B.4.2.1 方法提要</w:t>
      </w:r>
    </w:p>
    <w:p w14:paraId="650836B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样品加盐酸溶解后，用钇标准溶液作内标，在等离子体发射光谱仪相应的波长处测量其光谱强度并采用内标法计算元素的含量。</w:t>
      </w:r>
    </w:p>
    <w:p w14:paraId="7CB25A9B">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B.4.2.2 试剂</w:t>
      </w:r>
    </w:p>
    <w:p w14:paraId="296E9D1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B.4.2.2.1 盐酸：优级纯。</w:t>
      </w:r>
    </w:p>
    <w:p w14:paraId="5161C61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B.4.2.2.2 氩气：纯度不小于99.9%。</w:t>
      </w:r>
    </w:p>
    <w:p w14:paraId="14D2813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B.4.2.2.3 钇标准贮备溶液：1mL溶液含钇(Y)1mg，准确称取0.1270g三氧化二钇(Y</w:t>
      </w:r>
      <w:r>
        <w:rPr>
          <w:rFonts w:ascii="宋体" w:hAnsi="Times New Roman"/>
          <w:kern w:val="0"/>
          <w:szCs w:val="20"/>
          <w:vertAlign w:val="subscript"/>
        </w:rPr>
        <w:t>2</w:t>
      </w:r>
      <w:r>
        <w:rPr>
          <w:rFonts w:ascii="宋体" w:hAnsi="Times New Roman"/>
          <w:kern w:val="0"/>
          <w:szCs w:val="20"/>
        </w:rPr>
        <w:t>O</w:t>
      </w:r>
      <w:r>
        <w:rPr>
          <w:rFonts w:ascii="宋体" w:hAnsi="Times New Roman"/>
          <w:kern w:val="0"/>
          <w:szCs w:val="20"/>
          <w:vertAlign w:val="subscript"/>
        </w:rPr>
        <w:t>3</w:t>
      </w:r>
      <w:r>
        <w:rPr>
          <w:rFonts w:ascii="宋体" w:hAnsi="Times New Roman"/>
          <w:kern w:val="0"/>
          <w:szCs w:val="20"/>
        </w:rPr>
        <w:t>)溶于少量盐酸中，用盐酸溶液(1+99)定容至100mL。</w:t>
      </w:r>
    </w:p>
    <w:p w14:paraId="0A317AC7">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B.4.2.2.4 钇标准使用溶液：1mL溶液含钇(Y)1μg，用移液管移取1mL钇标准贮备溶液，置于1000mL容量瓶中，用水稀释至刻度，摇匀。</w:t>
      </w:r>
    </w:p>
    <w:p w14:paraId="468040B9">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B.4.2.2.5 混合标准溶液：1mL溶液含铅(Pb)、镉(Cd)、砷(Bs)各10μg。用移液管各移取1.0mL按HG/T3696.2配制的铅(Pb)、镉(Cd)、砷(Bs)标准溶液，置于同一100mL容量瓶中，用一级水稀释至刻度，摇匀。</w:t>
      </w:r>
    </w:p>
    <w:p w14:paraId="12035349">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B.4.2.2.6 一级水：符合GB/T6682—2008的规定。</w:t>
      </w:r>
    </w:p>
    <w:p w14:paraId="096E0863">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B.4.2.3 仪器</w:t>
      </w:r>
    </w:p>
    <w:p w14:paraId="577F8183">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电感耦合等离子体发射光谱仪(ICP-BES)。</w:t>
      </w:r>
    </w:p>
    <w:p w14:paraId="75F6F980">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B.4.2.4 分析步骤</w:t>
      </w:r>
    </w:p>
    <w:p w14:paraId="2FA4B62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B.4.2.4.1 试验溶液的制备</w:t>
      </w:r>
    </w:p>
    <w:p w14:paraId="1329EB2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称取约0.7g试样，精确至0.001g，用少量一级水润湿并分散试样，缓慢加入3mL盐酸，溶解后转移至100mL容量瓶，用一级水稀释至刻度，摇匀。</w:t>
      </w:r>
    </w:p>
    <w:p w14:paraId="486162E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同时做空白试验，空白试验溶液除不加试样外，其他加入试剂的种类和量与试验溶液相同。</w:t>
      </w:r>
    </w:p>
    <w:p w14:paraId="55A2AAB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注：对垂直炬管ICP，称样量推荐增加到3g，其余试剂用量或浓度按适当比例增加。</w:t>
      </w:r>
    </w:p>
    <w:p w14:paraId="61A43FB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B.4.2.4.2 工作曲线绘制</w:t>
      </w:r>
    </w:p>
    <w:p w14:paraId="0D5646FB">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分别用移液管移取0.00mL、1.00mL、2.00mL、4.00mL、8.00mL混合标准溶液置于5个100mL容量瓶中，分别加5mL盐酸，用一级水稀释至刻度，摇匀。</w:t>
      </w:r>
    </w:p>
    <w:p w14:paraId="7031F62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B.4.2.4.3 测定</w:t>
      </w:r>
    </w:p>
    <w:p w14:paraId="463DF801">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在仪器最佳的测定条件下，按表B.1给出的待测元素测定波长，钇内标校正谱线为242.219nm，同时采用1μg/mL的钇标准使用溶液经蠕动泵内标管在线加入内标，与试样溶液混合后导入进样系统。利用标准曲线法测定各待测元素的光谱强度。计算机根据所输入的相关数据，自动计算出各元素的质量浓度(μg/mL)。</w:t>
      </w:r>
    </w:p>
    <w:p w14:paraId="3340DFBF">
      <w:pPr>
        <w:widowControl/>
        <w:autoSpaceDE w:val="0"/>
        <w:autoSpaceDN w:val="0"/>
        <w:adjustRightInd/>
        <w:spacing w:line="240" w:lineRule="auto"/>
        <w:ind w:firstLine="422" w:firstLineChars="200"/>
        <w:jc w:val="center"/>
        <w:rPr>
          <w:rFonts w:ascii="宋体" w:hAnsi="Times New Roman"/>
          <w:b/>
          <w:bCs/>
          <w:kern w:val="0"/>
          <w:szCs w:val="20"/>
        </w:rPr>
      </w:pPr>
      <w:r>
        <w:rPr>
          <w:rFonts w:ascii="宋体" w:hAnsi="Times New Roman"/>
          <w:b/>
          <w:bCs/>
          <w:kern w:val="0"/>
          <w:szCs w:val="20"/>
        </w:rPr>
        <w:t>表B.1 待测元素测定波长</w:t>
      </w:r>
    </w:p>
    <w:tbl>
      <w:tblPr>
        <w:tblStyle w:val="26"/>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074"/>
        <w:gridCol w:w="2074"/>
        <w:gridCol w:w="2074"/>
        <w:gridCol w:w="2074"/>
      </w:tblGrid>
      <w:tr w14:paraId="107427B9">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074" w:type="dxa"/>
            <w:tcBorders>
              <w:top w:val="single" w:color="auto" w:sz="12" w:space="0"/>
              <w:left w:val="single" w:color="auto" w:sz="12" w:space="0"/>
              <w:bottom w:val="single" w:color="auto" w:sz="4" w:space="0"/>
              <w:right w:val="single" w:color="auto" w:sz="4" w:space="0"/>
            </w:tcBorders>
            <w:vAlign w:val="center"/>
          </w:tcPr>
          <w:p w14:paraId="5E06515F">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杂质元素</w:t>
            </w:r>
          </w:p>
        </w:tc>
        <w:tc>
          <w:tcPr>
            <w:tcW w:w="2074" w:type="dxa"/>
            <w:tcBorders>
              <w:top w:val="single" w:color="auto" w:sz="12" w:space="0"/>
              <w:left w:val="single" w:color="auto" w:sz="4" w:space="0"/>
              <w:bottom w:val="single" w:color="auto" w:sz="4" w:space="0"/>
              <w:right w:val="single" w:color="auto" w:sz="4" w:space="0"/>
            </w:tcBorders>
            <w:vAlign w:val="center"/>
          </w:tcPr>
          <w:p w14:paraId="50DD9216">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铅</w:t>
            </w:r>
          </w:p>
        </w:tc>
        <w:tc>
          <w:tcPr>
            <w:tcW w:w="2074" w:type="dxa"/>
            <w:tcBorders>
              <w:top w:val="single" w:color="auto" w:sz="12" w:space="0"/>
              <w:left w:val="single" w:color="auto" w:sz="4" w:space="0"/>
              <w:bottom w:val="single" w:color="auto" w:sz="4" w:space="0"/>
              <w:right w:val="single" w:color="auto" w:sz="4" w:space="0"/>
            </w:tcBorders>
            <w:vAlign w:val="center"/>
          </w:tcPr>
          <w:p w14:paraId="79DD5470">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镉</w:t>
            </w:r>
          </w:p>
        </w:tc>
        <w:tc>
          <w:tcPr>
            <w:tcW w:w="2074" w:type="dxa"/>
            <w:tcBorders>
              <w:top w:val="single" w:color="auto" w:sz="12" w:space="0"/>
              <w:left w:val="single" w:color="auto" w:sz="4" w:space="0"/>
              <w:bottom w:val="single" w:color="auto" w:sz="4" w:space="0"/>
              <w:right w:val="single" w:color="auto" w:sz="12" w:space="0"/>
            </w:tcBorders>
            <w:vAlign w:val="center"/>
          </w:tcPr>
          <w:p w14:paraId="11932F4C">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砷</w:t>
            </w:r>
          </w:p>
        </w:tc>
      </w:tr>
      <w:tr w14:paraId="38AC0C3A">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2074" w:type="dxa"/>
            <w:tcBorders>
              <w:top w:val="single" w:color="auto" w:sz="4" w:space="0"/>
              <w:left w:val="single" w:color="auto" w:sz="12" w:space="0"/>
              <w:bottom w:val="single" w:color="auto" w:sz="12" w:space="0"/>
              <w:right w:val="single" w:color="auto" w:sz="4" w:space="0"/>
            </w:tcBorders>
            <w:vAlign w:val="center"/>
          </w:tcPr>
          <w:p w14:paraId="684569B0">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测定波长/nm</w:t>
            </w:r>
          </w:p>
        </w:tc>
        <w:tc>
          <w:tcPr>
            <w:tcW w:w="2074" w:type="dxa"/>
            <w:tcBorders>
              <w:top w:val="single" w:color="auto" w:sz="4" w:space="0"/>
              <w:left w:val="single" w:color="auto" w:sz="4" w:space="0"/>
              <w:bottom w:val="single" w:color="auto" w:sz="12" w:space="0"/>
              <w:right w:val="single" w:color="auto" w:sz="4" w:space="0"/>
            </w:tcBorders>
            <w:vAlign w:val="center"/>
          </w:tcPr>
          <w:p w14:paraId="618C4545">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220.353</w:t>
            </w:r>
          </w:p>
        </w:tc>
        <w:tc>
          <w:tcPr>
            <w:tcW w:w="2074" w:type="dxa"/>
            <w:tcBorders>
              <w:top w:val="single" w:color="auto" w:sz="4" w:space="0"/>
              <w:left w:val="single" w:color="auto" w:sz="4" w:space="0"/>
              <w:bottom w:val="single" w:color="auto" w:sz="12" w:space="0"/>
              <w:right w:val="single" w:color="auto" w:sz="4" w:space="0"/>
            </w:tcBorders>
            <w:vAlign w:val="center"/>
          </w:tcPr>
          <w:p w14:paraId="751208CC">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214.439</w:t>
            </w:r>
          </w:p>
        </w:tc>
        <w:tc>
          <w:tcPr>
            <w:tcW w:w="2074" w:type="dxa"/>
            <w:tcBorders>
              <w:top w:val="single" w:color="auto" w:sz="4" w:space="0"/>
              <w:left w:val="single" w:color="auto" w:sz="4" w:space="0"/>
              <w:bottom w:val="single" w:color="auto" w:sz="12" w:space="0"/>
              <w:right w:val="single" w:color="auto" w:sz="12" w:space="0"/>
            </w:tcBorders>
            <w:vAlign w:val="center"/>
          </w:tcPr>
          <w:p w14:paraId="14FAC0EA">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188.980</w:t>
            </w:r>
          </w:p>
        </w:tc>
      </w:tr>
    </w:tbl>
    <w:p w14:paraId="0EA6DF6F">
      <w:pPr>
        <w:widowControl/>
        <w:autoSpaceDE w:val="0"/>
        <w:autoSpaceDN w:val="0"/>
        <w:adjustRightInd/>
        <w:spacing w:line="240" w:lineRule="auto"/>
        <w:ind w:firstLine="422" w:firstLineChars="200"/>
        <w:rPr>
          <w:rFonts w:ascii="宋体" w:hAnsi="Times New Roman"/>
          <w:b/>
          <w:bCs/>
          <w:kern w:val="0"/>
          <w:szCs w:val="20"/>
        </w:rPr>
      </w:pPr>
      <w:r>
        <w:rPr>
          <w:rFonts w:ascii="宋体" w:hAnsi="Times New Roman"/>
          <w:b/>
          <w:bCs/>
          <w:kern w:val="0"/>
          <w:szCs w:val="20"/>
        </w:rPr>
        <w:t>B.4.2.5 结果计算</w:t>
      </w:r>
    </w:p>
    <w:p w14:paraId="791F944D">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杂质元素含量以质量分数w</w:t>
      </w:r>
      <w:r>
        <w:rPr>
          <w:rFonts w:ascii="宋体" w:hAnsi="Times New Roman"/>
          <w:kern w:val="0"/>
          <w:szCs w:val="20"/>
          <w:vertAlign w:val="subscript"/>
        </w:rPr>
        <w:t>4</w:t>
      </w:r>
      <w:r>
        <w:rPr>
          <w:rFonts w:ascii="宋体" w:hAnsi="Times New Roman"/>
          <w:kern w:val="0"/>
          <w:szCs w:val="20"/>
        </w:rPr>
        <w:t>计，按式(B.5)计算：</w:t>
      </w:r>
    </w:p>
    <w:p w14:paraId="65BF76F4">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1906905" cy="391795"/>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906905" cy="391795"/>
                    </a:xfrm>
                    <a:prstGeom prst="rect">
                      <a:avLst/>
                    </a:prstGeom>
                    <a:noFill/>
                    <a:ln>
                      <a:noFill/>
                    </a:ln>
                  </pic:spPr>
                </pic:pic>
              </a:graphicData>
            </a:graphic>
          </wp:inline>
        </w:drawing>
      </w:r>
      <w:r>
        <w:rPr>
          <w:rFonts w:ascii="宋体" w:hAnsi="Times New Roman"/>
          <w:kern w:val="0"/>
          <w:szCs w:val="20"/>
        </w:rPr>
        <w:t>……………………(B.5)</w:t>
      </w:r>
    </w:p>
    <w:p w14:paraId="2449F310">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式中：</w:t>
      </w:r>
    </w:p>
    <w:p w14:paraId="7F240A88">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443865" cy="295910"/>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443865" cy="295910"/>
                    </a:xfrm>
                    <a:prstGeom prst="rect">
                      <a:avLst/>
                    </a:prstGeom>
                    <a:noFill/>
                    <a:ln>
                      <a:noFill/>
                    </a:ln>
                  </pic:spPr>
                </pic:pic>
              </a:graphicData>
            </a:graphic>
          </wp:inline>
        </w:drawing>
      </w:r>
      <w:r>
        <w:rPr>
          <w:rFonts w:ascii="宋体" w:hAnsi="Times New Roman"/>
          <w:kern w:val="0"/>
          <w:szCs w:val="20"/>
        </w:rPr>
        <w:t>——从工作曲线上查得试验溶液中杂质元素质量浓度的数值，单位为微克每毫升(μg/mL)；</w:t>
      </w:r>
    </w:p>
    <w:p w14:paraId="2EC8E5DE">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drawing>
          <wp:inline distT="0" distB="0" distL="0" distR="0">
            <wp:extent cx="443865" cy="295910"/>
            <wp:effectExtent l="0" t="0" r="0"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43865" cy="295910"/>
                    </a:xfrm>
                    <a:prstGeom prst="rect">
                      <a:avLst/>
                    </a:prstGeom>
                    <a:noFill/>
                    <a:ln>
                      <a:noFill/>
                    </a:ln>
                  </pic:spPr>
                </pic:pic>
              </a:graphicData>
            </a:graphic>
          </wp:inline>
        </w:drawing>
      </w:r>
      <w:r>
        <w:rPr>
          <w:rFonts w:ascii="宋体" w:hAnsi="Times New Roman"/>
          <w:kern w:val="0"/>
          <w:szCs w:val="20"/>
        </w:rPr>
        <w:t>——从工作曲线上查得空白试验溶液中杂质元素质量浓度的数值，单位为微克每毫升(μg/mL)；</w:t>
      </w:r>
    </w:p>
    <w:p w14:paraId="2A4A3822">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m——试料的质量的数值，单位为克(g)。</w:t>
      </w:r>
    </w:p>
    <w:p w14:paraId="6A0FD75F">
      <w:pPr>
        <w:widowControl/>
        <w:autoSpaceDE w:val="0"/>
        <w:autoSpaceDN w:val="0"/>
        <w:adjustRightInd/>
        <w:spacing w:line="240" w:lineRule="auto"/>
        <w:ind w:firstLine="420" w:firstLineChars="200"/>
        <w:rPr>
          <w:rFonts w:ascii="宋体" w:hAnsi="Times New Roman"/>
          <w:kern w:val="0"/>
          <w:szCs w:val="20"/>
        </w:rPr>
      </w:pPr>
      <w:r>
        <w:rPr>
          <w:rFonts w:ascii="宋体" w:hAnsi="Times New Roman"/>
          <w:kern w:val="0"/>
          <w:szCs w:val="20"/>
        </w:rPr>
        <w:t>取平行测定结果的算术平均值为测定结果，两次平行测定结果的绝对差值：铅含量不大于0.001%、镉含量不大于0.0002%、砷含量不大于0.001%。</w:t>
      </w:r>
    </w:p>
    <w:bookmarkEnd w:id="80"/>
    <w:p w14:paraId="721C8F99">
      <w:pPr>
        <w:pStyle w:val="56"/>
        <w:ind w:firstLine="0" w:firstLineChars="0"/>
        <w:jc w:val="center"/>
      </w:pPr>
      <w:bookmarkStart w:id="92" w:name="BookMark8"/>
      <w:r>
        <w:drawing>
          <wp:inline distT="0" distB="0" distL="0" distR="0">
            <wp:extent cx="1485900" cy="317500"/>
            <wp:effectExtent l="0" t="0" r="0" b="6350"/>
            <wp:docPr id="16" name="图片 16"/>
            <wp:cNvGraphicFramePr/>
            <a:graphic xmlns:a="http://schemas.openxmlformats.org/drawingml/2006/main">
              <a:graphicData uri="http://schemas.openxmlformats.org/drawingml/2006/picture">
                <pic:pic xmlns:pic="http://schemas.openxmlformats.org/drawingml/2006/picture">
                  <pic:nvPicPr>
                    <pic:cNvPr id="16" name="图片 16"/>
                    <pic:cNvPicPr/>
                  </pic:nvPicPr>
                  <pic:blipFill>
                    <a:blip r:embed="rId27">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92"/>
    </w:p>
    <w:sectPr>
      <w:pgSz w:w="11906" w:h="16838"/>
      <w:pgMar w:top="1928" w:right="1134" w:bottom="1134" w:left="1134" w:header="1418" w:footer="1134" w:gutter="284"/>
      <w:cols w:space="425" w:num="1"/>
      <w:formProt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等线 Light">
    <w:panose1 w:val="02010600030101010101"/>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67ACD9">
    <w:pPr>
      <w:pStyle w:val="17"/>
    </w:pPr>
    <w:r>
      <w:fldChar w:fldCharType="begin"/>
    </w:r>
    <w:r>
      <w:instrText xml:space="preserve">PAGE   \* MERGEFORMAT</w:instrText>
    </w:r>
    <w:r>
      <w:fldChar w:fldCharType="separate"/>
    </w:r>
    <w:r>
      <w:rPr>
        <w:lang w:val="zh-CN"/>
      </w:rPr>
      <w:t>2</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32F839">
    <w:pPr>
      <w:pStyle w:val="17"/>
      <w:ind w:right="720"/>
      <w:jc w:val="both"/>
      <w:rPr>
        <w:sz w:val="2"/>
        <w:szCs w:val="2"/>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32080F">
    <w:pPr>
      <w:pStyle w:val="52"/>
    </w:pPr>
    <w:r>
      <w:fldChar w:fldCharType="begin"/>
    </w:r>
    <w:r>
      <w:instrText xml:space="preserve">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6A1F7A">
    <w:pPr>
      <w:pStyle w:val="18"/>
      <w:wordWrap w:val="0"/>
      <w:jc w:val="right"/>
      <w:rPr>
        <w:rFonts w:ascii="黑体" w:hAnsi="黑体" w:eastAsia="黑体"/>
      </w:rPr>
    </w:pPr>
    <w:r>
      <w:rPr>
        <w:rFonts w:ascii="黑体" w:hAnsi="黑体" w:eastAsia="黑体"/>
      </w:rPr>
      <w:t>Q/LB.</w:t>
    </w:r>
    <w:r>
      <w:rPr>
        <w:rFonts w:hint="eastAsia" w:ascii="黑体" w:hAnsi="黑体" w:eastAsia="黑体"/>
      </w:rPr>
      <w:t>□</w:t>
    </w:r>
    <w:r>
      <w:rPr>
        <w:rFonts w:ascii="黑体" w:hAnsi="黑体" w:eastAsia="黑体"/>
      </w:rPr>
      <w:t>XXXXX-XXXX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AC7166">
    <w:pPr>
      <w:pStyle w:val="18"/>
      <w:jc w:val="both"/>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33C4B">
    <w:pPr>
      <w:pStyle w:val="61"/>
    </w:pPr>
    <w:r>
      <w:fldChar w:fldCharType="begin"/>
    </w:r>
    <w:r>
      <w:instrText xml:space="preserve"> STYLEREF  标准文件_文件编号  \* MERGEFORMAT </w:instrText>
    </w:r>
    <w:r>
      <w:fldChar w:fldCharType="separate"/>
    </w:r>
    <w:r>
      <w:t>DB 42/T XXXX—XXXX</w:t>
    </w:r>
    <w: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ABC84D9">
    <w:pPr>
      <w:pStyle w:val="18"/>
      <w:jc w:val="right"/>
      <w:rPr>
        <w:lang w:val="fr-FR"/>
      </w:rPr>
    </w:pPr>
    <w:r>
      <w:fldChar w:fldCharType="begin"/>
    </w:r>
    <w:r>
      <w:rPr>
        <w:lang w:val="fr-FR"/>
      </w:rPr>
      <w:instrText xml:space="preserve"> STYLEREF  </w:instrText>
    </w:r>
    <w:r>
      <w:instrText xml:space="preserve">标准文件</w:instrText>
    </w:r>
    <w:r>
      <w:rPr>
        <w:lang w:val="fr-FR"/>
      </w:rPr>
      <w:instrText xml:space="preserve">_</w:instrText>
    </w:r>
    <w:r>
      <w:instrText xml:space="preserve">文件编号</w:instrText>
    </w:r>
    <w:r>
      <w:rPr>
        <w:lang w:val="fr-FR"/>
      </w:rPr>
      <w:instrText xml:space="preserve">  \* MERGEFORMAT </w:instrText>
    </w:r>
    <w:r>
      <w:fldChar w:fldCharType="separate"/>
    </w:r>
    <w:r>
      <w:rPr>
        <w:lang w:val="fr-FR"/>
      </w:rPr>
      <w:t>DB 42/T XXXX—XXXX</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837933"/>
    <w:multiLevelType w:val="multilevel"/>
    <w:tmpl w:val="02837933"/>
    <w:lvl w:ilvl="0" w:tentative="0">
      <w:start w:val="1"/>
      <w:numFmt w:val="decimal"/>
      <w:pStyle w:val="64"/>
      <w:lvlText w:val="[%1]"/>
      <w:lvlJc w:val="left"/>
      <w:pPr>
        <w:tabs>
          <w:tab w:val="left" w:pos="1646"/>
        </w:tabs>
        <w:ind w:left="1646" w:hanging="648"/>
      </w:pPr>
    </w:lvl>
    <w:lvl w:ilvl="1" w:tentative="0">
      <w:start w:val="1"/>
      <w:numFmt w:val="lowerLetter"/>
      <w:lvlText w:val="%2)"/>
      <w:lvlJc w:val="left"/>
      <w:pPr>
        <w:tabs>
          <w:tab w:val="left" w:pos="1838"/>
        </w:tabs>
        <w:ind w:left="1838" w:hanging="420"/>
      </w:pPr>
    </w:lvl>
    <w:lvl w:ilvl="2" w:tentative="0">
      <w:start w:val="1"/>
      <w:numFmt w:val="lowerRoman"/>
      <w:lvlText w:val="%3."/>
      <w:lvlJc w:val="right"/>
      <w:pPr>
        <w:tabs>
          <w:tab w:val="left" w:pos="2258"/>
        </w:tabs>
        <w:ind w:left="2258" w:hanging="420"/>
      </w:pPr>
    </w:lvl>
    <w:lvl w:ilvl="3" w:tentative="0">
      <w:start w:val="1"/>
      <w:numFmt w:val="decimal"/>
      <w:lvlText w:val="%4."/>
      <w:lvlJc w:val="left"/>
      <w:pPr>
        <w:tabs>
          <w:tab w:val="left" w:pos="2678"/>
        </w:tabs>
        <w:ind w:left="2678" w:hanging="420"/>
      </w:pPr>
    </w:lvl>
    <w:lvl w:ilvl="4" w:tentative="0">
      <w:start w:val="1"/>
      <w:numFmt w:val="lowerLetter"/>
      <w:lvlText w:val="%5)"/>
      <w:lvlJc w:val="left"/>
      <w:pPr>
        <w:tabs>
          <w:tab w:val="left" w:pos="3098"/>
        </w:tabs>
        <w:ind w:left="3098" w:hanging="420"/>
      </w:pPr>
    </w:lvl>
    <w:lvl w:ilvl="5" w:tentative="0">
      <w:start w:val="1"/>
      <w:numFmt w:val="lowerRoman"/>
      <w:lvlText w:val="%6."/>
      <w:lvlJc w:val="right"/>
      <w:pPr>
        <w:tabs>
          <w:tab w:val="left" w:pos="3518"/>
        </w:tabs>
        <w:ind w:left="3518" w:hanging="420"/>
      </w:pPr>
    </w:lvl>
    <w:lvl w:ilvl="6" w:tentative="0">
      <w:start w:val="1"/>
      <w:numFmt w:val="decimal"/>
      <w:lvlText w:val="%7."/>
      <w:lvlJc w:val="left"/>
      <w:pPr>
        <w:tabs>
          <w:tab w:val="left" w:pos="3938"/>
        </w:tabs>
        <w:ind w:left="3938" w:hanging="420"/>
      </w:pPr>
    </w:lvl>
    <w:lvl w:ilvl="7" w:tentative="0">
      <w:start w:val="1"/>
      <w:numFmt w:val="lowerLetter"/>
      <w:lvlText w:val="%8)"/>
      <w:lvlJc w:val="left"/>
      <w:pPr>
        <w:tabs>
          <w:tab w:val="left" w:pos="4358"/>
        </w:tabs>
        <w:ind w:left="4358" w:hanging="420"/>
      </w:pPr>
    </w:lvl>
    <w:lvl w:ilvl="8" w:tentative="0">
      <w:start w:val="1"/>
      <w:numFmt w:val="lowerRoman"/>
      <w:lvlText w:val="%9."/>
      <w:lvlJc w:val="right"/>
      <w:pPr>
        <w:tabs>
          <w:tab w:val="left" w:pos="4778"/>
        </w:tabs>
        <w:ind w:left="4778" w:hanging="420"/>
      </w:pPr>
    </w:lvl>
  </w:abstractNum>
  <w:abstractNum w:abstractNumId="1">
    <w:nsid w:val="040A15CD"/>
    <w:multiLevelType w:val="multilevel"/>
    <w:tmpl w:val="040A15CD"/>
    <w:lvl w:ilvl="0" w:tentative="0">
      <w:start w:val="1"/>
      <w:numFmt w:val="none"/>
      <w:suff w:val="nothing"/>
      <w:lvlText w:val="　"/>
      <w:lvlJc w:val="left"/>
      <w:pPr>
        <w:ind w:left="0" w:firstLine="0"/>
      </w:pPr>
    </w:lvl>
    <w:lvl w:ilvl="1" w:tentative="0">
      <w:start w:val="1"/>
      <w:numFmt w:val="decimal"/>
      <w:isLgl/>
      <w:suff w:val="nothing"/>
      <w:lvlText w:val="%2　"/>
      <w:lvlJc w:val="left"/>
      <w:pPr>
        <w:ind w:left="0" w:firstLine="0"/>
      </w:pPr>
    </w:lvl>
    <w:lvl w:ilvl="2" w:tentative="0">
      <w:start w:val="1"/>
      <w:numFmt w:val="decimal"/>
      <w:pStyle w:val="159"/>
      <w:suff w:val="nothing"/>
      <w:lvlText w:val="%1%2.%3　"/>
      <w:lvlJc w:val="left"/>
      <w:pPr>
        <w:ind w:left="0" w:firstLine="0"/>
      </w:pPr>
    </w:lvl>
    <w:lvl w:ilvl="3" w:tentative="0">
      <w:start w:val="1"/>
      <w:numFmt w:val="decimal"/>
      <w:pStyle w:val="118"/>
      <w:suff w:val="nothing"/>
      <w:lvlText w:val="%1%2.%3.%4　"/>
      <w:lvlJc w:val="left"/>
      <w:pPr>
        <w:ind w:left="0" w:firstLine="0"/>
      </w:pPr>
    </w:lvl>
    <w:lvl w:ilvl="4" w:tentative="0">
      <w:start w:val="1"/>
      <w:numFmt w:val="decimal"/>
      <w:pStyle w:val="153"/>
      <w:suff w:val="nothing"/>
      <w:lvlText w:val="%1%2.%3.%4.%5　"/>
      <w:lvlJc w:val="left"/>
      <w:pPr>
        <w:ind w:left="0" w:firstLine="0"/>
      </w:pPr>
    </w:lvl>
    <w:lvl w:ilvl="5" w:tentative="0">
      <w:start w:val="1"/>
      <w:numFmt w:val="decimal"/>
      <w:pStyle w:val="155"/>
      <w:suff w:val="nothing"/>
      <w:lvlText w:val="%1%2.%3.%4.%5.%6　"/>
      <w:lvlJc w:val="left"/>
      <w:pPr>
        <w:ind w:left="0" w:firstLine="0"/>
      </w:pPr>
    </w:lvl>
    <w:lvl w:ilvl="6" w:tentative="0">
      <w:start w:val="1"/>
      <w:numFmt w:val="decimal"/>
      <w:pStyle w:val="158"/>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
    <w:nsid w:val="079102AD"/>
    <w:multiLevelType w:val="multilevel"/>
    <w:tmpl w:val="079102AD"/>
    <w:lvl w:ilvl="0" w:tentative="0">
      <w:start w:val="1"/>
      <w:numFmt w:val="decimal"/>
      <w:pStyle w:val="180"/>
      <w:suff w:val="nothing"/>
      <w:lvlText w:val="注%1："/>
      <w:lvlJc w:val="left"/>
      <w:pPr>
        <w:ind w:left="811" w:hanging="448"/>
      </w:pPr>
      <w:rPr>
        <w:rFonts w:hint="eastAsia" w:ascii="黑体" w:eastAsia="黑体"/>
        <w:b w:val="0"/>
        <w:i w:val="0"/>
        <w:sz w:val="18"/>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tentative="0">
      <w:start w:val="1"/>
      <w:numFmt w:val="none"/>
      <w:pStyle w:val="89"/>
      <w:lvlText w:val="%1"/>
      <w:lvlJc w:val="left"/>
      <w:pPr>
        <w:ind w:left="425" w:hanging="425"/>
      </w:pPr>
      <w:rPr>
        <w:rFonts w:hint="eastAsia"/>
      </w:rPr>
    </w:lvl>
    <w:lvl w:ilvl="1" w:tentative="0">
      <w:start w:val="1"/>
      <w:numFmt w:val="decimal"/>
      <w:pStyle w:val="200"/>
      <w:suff w:val="nothing"/>
      <w:lvlText w:val="%10.%2 "/>
      <w:lvlJc w:val="left"/>
      <w:pPr>
        <w:ind w:left="0" w:firstLine="0"/>
      </w:pPr>
      <w:rPr>
        <w:rFonts w:hint="eastAsia" w:ascii="黑体" w:eastAsia="黑体" w:hAnsiTheme="minorHAnsi"/>
        <w:b w:val="0"/>
        <w:i w:val="0"/>
        <w:sz w:val="21"/>
      </w:rPr>
    </w:lvl>
    <w:lvl w:ilvl="2" w:tentative="0">
      <w:start w:val="1"/>
      <w:numFmt w:val="decimal"/>
      <w:pStyle w:val="201"/>
      <w:suff w:val="nothing"/>
      <w:lvlText w:val="%10.%2.%3 "/>
      <w:lvlJc w:val="left"/>
      <w:pPr>
        <w:ind w:left="0" w:firstLine="0"/>
      </w:pPr>
      <w:rPr>
        <w:rFonts w:hint="eastAsia" w:ascii="黑体" w:eastAsia="黑体" w:hAnsiTheme="minorHAnsi"/>
        <w:b w:val="0"/>
        <w:i w:val="0"/>
        <w:sz w:val="21"/>
      </w:rPr>
    </w:lvl>
    <w:lvl w:ilvl="3" w:tentative="0">
      <w:start w:val="1"/>
      <w:numFmt w:val="decimal"/>
      <w:pStyle w:val="202"/>
      <w:suff w:val="nothing"/>
      <w:lvlText w:val="%10.%2.%3.%4 "/>
      <w:lvlJc w:val="left"/>
      <w:pPr>
        <w:ind w:left="0" w:firstLine="0"/>
      </w:pPr>
      <w:rPr>
        <w:rFonts w:hint="eastAsia" w:ascii="黑体" w:eastAsia="黑体" w:hAnsiTheme="minorHAnsi"/>
        <w:b w:val="0"/>
        <w:i w:val="0"/>
        <w:sz w:val="21"/>
      </w:rPr>
    </w:lvl>
    <w:lvl w:ilvl="4" w:tentative="0">
      <w:start w:val="1"/>
      <w:numFmt w:val="decimal"/>
      <w:pStyle w:val="203"/>
      <w:suff w:val="nothing"/>
      <w:lvlText w:val="%10.%2.%3.%4.%5 "/>
      <w:lvlJc w:val="left"/>
      <w:pPr>
        <w:ind w:left="0" w:firstLine="0"/>
      </w:pPr>
      <w:rPr>
        <w:rFonts w:hint="eastAsia" w:ascii="黑体" w:eastAsia="黑体" w:hAnsiTheme="minorHAnsi"/>
        <w:b w:val="0"/>
        <w:i w:val="0"/>
        <w:sz w:val="21"/>
      </w:rPr>
    </w:lvl>
    <w:lvl w:ilvl="5" w:tentative="0">
      <w:start w:val="1"/>
      <w:numFmt w:val="decimal"/>
      <w:pStyle w:val="204"/>
      <w:suff w:val="nothing"/>
      <w:lvlText w:val="%10.%2.%3.%4.%5.%6 "/>
      <w:lvlJc w:val="left"/>
      <w:pPr>
        <w:ind w:left="0" w:firstLine="0"/>
      </w:pPr>
      <w:rPr>
        <w:rFonts w:hint="eastAsia" w:ascii="黑体" w:eastAsia="黑体" w:hAnsiTheme="minorHAnsi"/>
        <w:b w:val="0"/>
        <w:i w:val="0"/>
        <w:sz w:val="21"/>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4">
    <w:nsid w:val="0AE367E9"/>
    <w:multiLevelType w:val="multilevel"/>
    <w:tmpl w:val="0AE367E9"/>
    <w:lvl w:ilvl="0" w:tentative="0">
      <w:start w:val="1"/>
      <w:numFmt w:val="none"/>
      <w:pStyle w:val="181"/>
      <w:suff w:val="nothing"/>
      <w:lvlText w:val="%1示例："/>
      <w:lvlJc w:val="left"/>
      <w:pPr>
        <w:ind w:left="0" w:firstLine="363"/>
      </w:pPr>
      <w:rPr>
        <w:rFonts w:hint="eastAsia" w:ascii="黑体" w:eastAsia="黑体"/>
        <w:b w:val="0"/>
        <w:i w:val="0"/>
        <w:sz w:val="18"/>
      </w:rPr>
    </w:lvl>
    <w:lvl w:ilvl="1" w:tentative="0">
      <w:start w:val="1"/>
      <w:numFmt w:val="lowerLetter"/>
      <w:lvlText w:val="%2)"/>
      <w:lvlJc w:val="left"/>
      <w:pPr>
        <w:tabs>
          <w:tab w:val="left" w:pos="363"/>
        </w:tabs>
        <w:ind w:left="0" w:firstLine="363"/>
      </w:pPr>
      <w:rPr>
        <w:rFonts w:hint="eastAsia"/>
      </w:rPr>
    </w:lvl>
    <w:lvl w:ilvl="2" w:tentative="0">
      <w:start w:val="1"/>
      <w:numFmt w:val="lowerRoman"/>
      <w:lvlText w:val="%3."/>
      <w:lvlJc w:val="right"/>
      <w:pPr>
        <w:tabs>
          <w:tab w:val="left" w:pos="363"/>
        </w:tabs>
        <w:ind w:left="0" w:firstLine="363"/>
      </w:pPr>
      <w:rPr>
        <w:rFonts w:hint="eastAsia"/>
      </w:rPr>
    </w:lvl>
    <w:lvl w:ilvl="3" w:tentative="0">
      <w:start w:val="1"/>
      <w:numFmt w:val="decimal"/>
      <w:lvlText w:val="%4."/>
      <w:lvlJc w:val="left"/>
      <w:pPr>
        <w:tabs>
          <w:tab w:val="left" w:pos="363"/>
        </w:tabs>
        <w:ind w:left="0" w:firstLine="363"/>
      </w:pPr>
      <w:rPr>
        <w:rFonts w:hint="eastAsia"/>
      </w:rPr>
    </w:lvl>
    <w:lvl w:ilvl="4" w:tentative="0">
      <w:start w:val="1"/>
      <w:numFmt w:val="lowerLetter"/>
      <w:lvlText w:val="%5)"/>
      <w:lvlJc w:val="left"/>
      <w:pPr>
        <w:tabs>
          <w:tab w:val="left" w:pos="363"/>
        </w:tabs>
        <w:ind w:left="0" w:firstLine="363"/>
      </w:pPr>
      <w:rPr>
        <w:rFonts w:hint="eastAsia"/>
      </w:rPr>
    </w:lvl>
    <w:lvl w:ilvl="5" w:tentative="0">
      <w:start w:val="1"/>
      <w:numFmt w:val="lowerRoman"/>
      <w:lvlText w:val="%6."/>
      <w:lvlJc w:val="right"/>
      <w:pPr>
        <w:tabs>
          <w:tab w:val="left" w:pos="363"/>
        </w:tabs>
        <w:ind w:left="0" w:firstLine="363"/>
      </w:pPr>
      <w:rPr>
        <w:rFonts w:hint="eastAsia"/>
      </w:rPr>
    </w:lvl>
    <w:lvl w:ilvl="6" w:tentative="0">
      <w:start w:val="1"/>
      <w:numFmt w:val="decimal"/>
      <w:lvlText w:val="%7."/>
      <w:lvlJc w:val="left"/>
      <w:pPr>
        <w:tabs>
          <w:tab w:val="left" w:pos="363"/>
        </w:tabs>
        <w:ind w:left="0" w:firstLine="363"/>
      </w:pPr>
      <w:rPr>
        <w:rFonts w:hint="eastAsia"/>
      </w:rPr>
    </w:lvl>
    <w:lvl w:ilvl="7" w:tentative="0">
      <w:start w:val="1"/>
      <w:numFmt w:val="lowerLetter"/>
      <w:lvlText w:val="%8)"/>
      <w:lvlJc w:val="left"/>
      <w:pPr>
        <w:tabs>
          <w:tab w:val="left" w:pos="363"/>
        </w:tabs>
        <w:ind w:left="0" w:firstLine="363"/>
      </w:pPr>
      <w:rPr>
        <w:rFonts w:hint="eastAsia"/>
      </w:rPr>
    </w:lvl>
    <w:lvl w:ilvl="8" w:tentative="0">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tentative="0">
      <w:start w:val="1"/>
      <w:numFmt w:val="decimal"/>
      <w:pStyle w:val="67"/>
      <w:lvlText w:val="[%1]"/>
      <w:lvlJc w:val="left"/>
      <w:pPr>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D051F45"/>
    <w:multiLevelType w:val="multilevel"/>
    <w:tmpl w:val="0D051F45"/>
    <w:lvl w:ilvl="0" w:tentative="0">
      <w:start w:val="1"/>
      <w:numFmt w:val="lowerRoman"/>
      <w:pStyle w:val="169"/>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543"/>
        </w:tabs>
        <w:ind w:left="1543" w:hanging="420"/>
      </w:pPr>
      <w:rPr>
        <w:rFonts w:hint="eastAsia"/>
      </w:rPr>
    </w:lvl>
    <w:lvl w:ilvl="2" w:tentative="0">
      <w:start w:val="1"/>
      <w:numFmt w:val="lowerRoman"/>
      <w:lvlText w:val="%3."/>
      <w:lvlJc w:val="right"/>
      <w:pPr>
        <w:tabs>
          <w:tab w:val="left" w:pos="1963"/>
        </w:tabs>
        <w:ind w:left="1963" w:hanging="420"/>
      </w:pPr>
      <w:rPr>
        <w:rFonts w:hint="eastAsia"/>
      </w:rPr>
    </w:lvl>
    <w:lvl w:ilvl="3" w:tentative="0">
      <w:start w:val="1"/>
      <w:numFmt w:val="decimal"/>
      <w:lvlText w:val="%4."/>
      <w:lvlJc w:val="left"/>
      <w:pPr>
        <w:tabs>
          <w:tab w:val="left" w:pos="2383"/>
        </w:tabs>
        <w:ind w:left="2383" w:hanging="420"/>
      </w:pPr>
      <w:rPr>
        <w:rFonts w:hint="eastAsia"/>
      </w:rPr>
    </w:lvl>
    <w:lvl w:ilvl="4" w:tentative="0">
      <w:start w:val="1"/>
      <w:numFmt w:val="lowerLetter"/>
      <w:lvlText w:val="%5)"/>
      <w:lvlJc w:val="left"/>
      <w:pPr>
        <w:tabs>
          <w:tab w:val="left" w:pos="2803"/>
        </w:tabs>
        <w:ind w:left="2803" w:hanging="420"/>
      </w:pPr>
      <w:rPr>
        <w:rFonts w:hint="eastAsia"/>
      </w:rPr>
    </w:lvl>
    <w:lvl w:ilvl="5" w:tentative="0">
      <w:start w:val="1"/>
      <w:numFmt w:val="lowerRoman"/>
      <w:lvlText w:val="%6."/>
      <w:lvlJc w:val="right"/>
      <w:pPr>
        <w:tabs>
          <w:tab w:val="left" w:pos="3223"/>
        </w:tabs>
        <w:ind w:left="3223" w:hanging="420"/>
      </w:pPr>
      <w:rPr>
        <w:rFonts w:hint="eastAsia"/>
      </w:rPr>
    </w:lvl>
    <w:lvl w:ilvl="6" w:tentative="0">
      <w:start w:val="1"/>
      <w:numFmt w:val="decimal"/>
      <w:lvlText w:val="%7."/>
      <w:lvlJc w:val="left"/>
      <w:pPr>
        <w:tabs>
          <w:tab w:val="left" w:pos="3643"/>
        </w:tabs>
        <w:ind w:left="3643" w:hanging="420"/>
      </w:pPr>
      <w:rPr>
        <w:rFonts w:hint="eastAsia"/>
      </w:rPr>
    </w:lvl>
    <w:lvl w:ilvl="7" w:tentative="0">
      <w:start w:val="1"/>
      <w:numFmt w:val="lowerLetter"/>
      <w:lvlText w:val="%8)"/>
      <w:lvlJc w:val="left"/>
      <w:pPr>
        <w:tabs>
          <w:tab w:val="left" w:pos="4063"/>
        </w:tabs>
        <w:ind w:left="4063" w:hanging="420"/>
      </w:pPr>
      <w:rPr>
        <w:rFonts w:hint="eastAsia"/>
      </w:rPr>
    </w:lvl>
    <w:lvl w:ilvl="8" w:tentative="0">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tentative="0">
      <w:start w:val="1"/>
      <w:numFmt w:val="none"/>
      <w:pStyle w:val="110"/>
      <w:lvlText w:val="%1注："/>
      <w:lvlJc w:val="left"/>
      <w:pPr>
        <w:tabs>
          <w:tab w:val="left" w:pos="845"/>
        </w:tabs>
        <w:ind w:left="-102" w:firstLine="419"/>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8">
    <w:nsid w:val="1AF15012"/>
    <w:multiLevelType w:val="multilevel"/>
    <w:tmpl w:val="1AF15012"/>
    <w:lvl w:ilvl="0" w:tentative="0">
      <w:start w:val="1"/>
      <w:numFmt w:val="upperLetter"/>
      <w:pStyle w:val="85"/>
      <w:suff w:val="nothing"/>
      <w:lvlText w:val="附 录(Annex) %1"/>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9">
    <w:nsid w:val="1EAA1992"/>
    <w:multiLevelType w:val="multilevel"/>
    <w:tmpl w:val="1EAA1992"/>
    <w:lvl w:ilvl="0" w:tentative="0">
      <w:start w:val="1"/>
      <w:numFmt w:val="none"/>
      <w:pStyle w:val="92"/>
      <w:suff w:val="nothing"/>
      <w:lvlText w:val="——"/>
      <w:lvlJc w:val="left"/>
      <w:pPr>
        <w:ind w:left="794" w:hanging="397"/>
      </w:pPr>
    </w:lvl>
    <w:lvl w:ilvl="1" w:tentative="0">
      <w:start w:val="1"/>
      <w:numFmt w:val="decimal"/>
      <w:suff w:val="nothing"/>
      <w:lvlText w:val="%1.%2　"/>
      <w:lvlJc w:val="left"/>
      <w:pPr>
        <w:ind w:left="397" w:firstLine="0"/>
      </w:pPr>
    </w:lvl>
    <w:lvl w:ilvl="2" w:tentative="0">
      <w:start w:val="1"/>
      <w:numFmt w:val="decimal"/>
      <w:suff w:val="nothing"/>
      <w:lvlText w:val="%1.%2.%3　"/>
      <w:lvlJc w:val="left"/>
      <w:pPr>
        <w:ind w:left="397" w:firstLine="0"/>
      </w:pPr>
    </w:lvl>
    <w:lvl w:ilvl="3" w:tentative="0">
      <w:start w:val="1"/>
      <w:numFmt w:val="decimal"/>
      <w:suff w:val="nothing"/>
      <w:lvlText w:val="%1.%2.%3.%4　"/>
      <w:lvlJc w:val="left"/>
      <w:pPr>
        <w:ind w:left="397" w:firstLine="0"/>
      </w:pPr>
    </w:lvl>
    <w:lvl w:ilvl="4" w:tentative="0">
      <w:start w:val="1"/>
      <w:numFmt w:val="decimal"/>
      <w:suff w:val="nothing"/>
      <w:lvlText w:val="%1.%2.%3.%4.%5　"/>
      <w:lvlJc w:val="left"/>
      <w:pPr>
        <w:ind w:left="397" w:firstLine="0"/>
      </w:pPr>
    </w:lvl>
    <w:lvl w:ilvl="5" w:tentative="0">
      <w:start w:val="1"/>
      <w:numFmt w:val="decimal"/>
      <w:suff w:val="nothing"/>
      <w:lvlText w:val="%1.%2.%3.%4.%5.%6　"/>
      <w:lvlJc w:val="left"/>
      <w:pPr>
        <w:ind w:left="397" w:firstLine="0"/>
      </w:pPr>
    </w:lvl>
    <w:lvl w:ilvl="6" w:tentative="0">
      <w:start w:val="1"/>
      <w:numFmt w:val="decimal"/>
      <w:suff w:val="nothing"/>
      <w:lvlText w:val="%1.%2.%3.%4.%5.%6.%7　"/>
      <w:lvlJc w:val="left"/>
      <w:pPr>
        <w:ind w:left="397" w:firstLine="0"/>
      </w:pPr>
    </w:lvl>
    <w:lvl w:ilvl="7" w:tentative="0">
      <w:start w:val="1"/>
      <w:numFmt w:val="decimal"/>
      <w:lvlText w:val="%1.%2.%3.%4.%5.%6.%7.%8"/>
      <w:lvlJc w:val="left"/>
      <w:pPr>
        <w:tabs>
          <w:tab w:val="left" w:pos="4791"/>
        </w:tabs>
        <w:ind w:left="4791" w:hanging="1418"/>
      </w:pPr>
    </w:lvl>
    <w:lvl w:ilvl="8" w:tentative="0">
      <w:start w:val="1"/>
      <w:numFmt w:val="decimal"/>
      <w:lvlText w:val="%1.%2.%3.%4.%5.%6.%7.%8.%9"/>
      <w:lvlJc w:val="left"/>
      <w:pPr>
        <w:tabs>
          <w:tab w:val="left" w:pos="5499"/>
        </w:tabs>
        <w:ind w:left="5499" w:hanging="1700"/>
      </w:pPr>
    </w:lvl>
  </w:abstractNum>
  <w:abstractNum w:abstractNumId="10">
    <w:nsid w:val="2C5917C3"/>
    <w:multiLevelType w:val="multilevel"/>
    <w:tmpl w:val="2C5917C3"/>
    <w:lvl w:ilvl="0" w:tentative="0">
      <w:start w:val="1"/>
      <w:numFmt w:val="none"/>
      <w:pStyle w:val="132"/>
      <w:lvlText w:val="%1——"/>
      <w:lvlJc w:val="left"/>
      <w:pPr>
        <w:tabs>
          <w:tab w:val="left" w:pos="851"/>
        </w:tabs>
        <w:ind w:left="851" w:hanging="426"/>
      </w:pPr>
      <w:rPr>
        <w:rFonts w:hint="eastAsia" w:ascii="宋体" w:hAnsi="Times New Roman" w:eastAsia="宋体"/>
        <w:b w:val="0"/>
        <w:i w:val="0"/>
        <w:sz w:val="21"/>
      </w:rPr>
    </w:lvl>
    <w:lvl w:ilvl="1" w:tentative="0">
      <w:start w:val="1"/>
      <w:numFmt w:val="none"/>
      <w:pStyle w:val="187"/>
      <w:lvlText w:val=""/>
      <w:lvlJc w:val="left"/>
      <w:pPr>
        <w:ind w:left="851" w:hanging="431"/>
      </w:pPr>
      <w:rPr>
        <w:rFonts w:hint="default" w:ascii="Symbol" w:hAnsi="Symbol"/>
        <w:sz w:val="21"/>
      </w:rPr>
    </w:lvl>
    <w:lvl w:ilvl="2" w:tentative="0">
      <w:start w:val="1"/>
      <w:numFmt w:val="bullet"/>
      <w:pStyle w:val="172"/>
      <w:lvlText w:val=""/>
      <w:lvlJc w:val="left"/>
      <w:pPr>
        <w:ind w:left="851" w:hanging="426"/>
      </w:pPr>
      <w:rPr>
        <w:rFonts w:hint="default" w:ascii="Wingdings" w:hAnsi="Wingdings"/>
        <w:sz w:val="21"/>
      </w:rPr>
    </w:lvl>
    <w:lvl w:ilvl="3" w:tentative="0">
      <w:start w:val="1"/>
      <w:numFmt w:val="decimal"/>
      <w:lvlText w:val="%4."/>
      <w:lvlJc w:val="left"/>
      <w:pPr>
        <w:tabs>
          <w:tab w:val="left" w:pos="2071"/>
        </w:tabs>
        <w:ind w:left="1884" w:hanging="528"/>
      </w:pPr>
      <w:rPr>
        <w:rFonts w:hint="eastAsia"/>
      </w:rPr>
    </w:lvl>
    <w:lvl w:ilvl="4" w:tentative="0">
      <w:start w:val="1"/>
      <w:numFmt w:val="lowerLetter"/>
      <w:lvlText w:val="%5)"/>
      <w:lvlJc w:val="left"/>
      <w:pPr>
        <w:tabs>
          <w:tab w:val="left" w:pos="2383"/>
        </w:tabs>
        <w:ind w:left="2196" w:hanging="528"/>
      </w:pPr>
      <w:rPr>
        <w:rFonts w:hint="eastAsia"/>
      </w:rPr>
    </w:lvl>
    <w:lvl w:ilvl="5" w:tentative="0">
      <w:start w:val="1"/>
      <w:numFmt w:val="lowerRoman"/>
      <w:lvlText w:val="%6."/>
      <w:lvlJc w:val="right"/>
      <w:pPr>
        <w:tabs>
          <w:tab w:val="left" w:pos="2695"/>
        </w:tabs>
        <w:ind w:left="2508" w:hanging="528"/>
      </w:pPr>
      <w:rPr>
        <w:rFonts w:hint="eastAsia"/>
      </w:rPr>
    </w:lvl>
    <w:lvl w:ilvl="6" w:tentative="0">
      <w:start w:val="1"/>
      <w:numFmt w:val="decimal"/>
      <w:lvlText w:val="%7."/>
      <w:lvlJc w:val="left"/>
      <w:pPr>
        <w:tabs>
          <w:tab w:val="left" w:pos="3007"/>
        </w:tabs>
        <w:ind w:left="2820" w:hanging="528"/>
      </w:pPr>
      <w:rPr>
        <w:rFonts w:hint="eastAsia"/>
      </w:rPr>
    </w:lvl>
    <w:lvl w:ilvl="7" w:tentative="0">
      <w:start w:val="1"/>
      <w:numFmt w:val="lowerLetter"/>
      <w:lvlText w:val="%8)"/>
      <w:lvlJc w:val="left"/>
      <w:pPr>
        <w:tabs>
          <w:tab w:val="left" w:pos="3319"/>
        </w:tabs>
        <w:ind w:left="3132" w:hanging="528"/>
      </w:pPr>
      <w:rPr>
        <w:rFonts w:hint="eastAsia"/>
      </w:rPr>
    </w:lvl>
    <w:lvl w:ilvl="8" w:tentative="0">
      <w:start w:val="1"/>
      <w:numFmt w:val="lowerRoman"/>
      <w:lvlText w:val="%9."/>
      <w:lvlJc w:val="right"/>
      <w:pPr>
        <w:tabs>
          <w:tab w:val="left" w:pos="3631"/>
        </w:tabs>
        <w:ind w:left="3444" w:hanging="528"/>
      </w:pPr>
      <w:rPr>
        <w:rFonts w:hint="eastAsia"/>
      </w:rPr>
    </w:lvl>
  </w:abstractNum>
  <w:abstractNum w:abstractNumId="11">
    <w:nsid w:val="32F04FB2"/>
    <w:multiLevelType w:val="multilevel"/>
    <w:tmpl w:val="32F04FB2"/>
    <w:lvl w:ilvl="0" w:tentative="0">
      <w:start w:val="1"/>
      <w:numFmt w:val="lowerLetter"/>
      <w:pStyle w:val="101"/>
      <w:lvlText w:val="%1"/>
      <w:lvlJc w:val="left"/>
      <w:pPr>
        <w:tabs>
          <w:tab w:val="left" w:pos="539"/>
        </w:tabs>
        <w:ind w:left="539" w:hanging="119"/>
      </w:pPr>
      <w:rPr>
        <w:rFonts w:hint="eastAsia"/>
        <w:caps w:val="0"/>
        <w:strike w:val="0"/>
        <w:dstrike w:val="0"/>
        <w:vanish w:val="0"/>
        <w:vertAlign w:val="superscript"/>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12">
    <w:nsid w:val="44C50F90"/>
    <w:multiLevelType w:val="multilevel"/>
    <w:tmpl w:val="44C50F90"/>
    <w:lvl w:ilvl="0" w:tentative="0">
      <w:start w:val="1"/>
      <w:numFmt w:val="lowerLetter"/>
      <w:pStyle w:val="174"/>
      <w:lvlText w:val="%1)"/>
      <w:lvlJc w:val="left"/>
      <w:pPr>
        <w:tabs>
          <w:tab w:val="left" w:pos="851"/>
        </w:tabs>
        <w:ind w:left="851" w:hanging="426"/>
      </w:pPr>
      <w:rPr>
        <w:rFonts w:hint="eastAsia" w:ascii="宋体" w:hAnsi="Times New Roman" w:eastAsia="宋体"/>
        <w:sz w:val="21"/>
      </w:rPr>
    </w:lvl>
    <w:lvl w:ilvl="1" w:tentative="0">
      <w:start w:val="1"/>
      <w:numFmt w:val="decimal"/>
      <w:pStyle w:val="109"/>
      <w:lvlText w:val="%2)"/>
      <w:lvlJc w:val="left"/>
      <w:pPr>
        <w:tabs>
          <w:tab w:val="left" w:pos="1276"/>
        </w:tabs>
        <w:ind w:left="1276" w:hanging="425"/>
      </w:pPr>
      <w:rPr>
        <w:rFonts w:hint="eastAsia" w:ascii="宋体" w:hAnsi="Times New Roman" w:eastAsia="宋体"/>
        <w:sz w:val="21"/>
      </w:rPr>
    </w:lvl>
    <w:lvl w:ilvl="2" w:tentative="0">
      <w:start w:val="1"/>
      <w:numFmt w:val="decimal"/>
      <w:pStyle w:val="117"/>
      <w:lvlText w:val="(%3)"/>
      <w:lvlJc w:val="left"/>
      <w:pPr>
        <w:ind w:left="1701" w:hanging="425"/>
      </w:pPr>
      <w:rPr>
        <w:rFonts w:hint="eastAsia" w:ascii="宋体" w:hAnsi="Times New Roman" w:eastAsia="宋体"/>
        <w:sz w:val="21"/>
      </w:rPr>
    </w:lvl>
    <w:lvl w:ilvl="3" w:tentative="0">
      <w:start w:val="1"/>
      <w:numFmt w:val="decimal"/>
      <w:lvlText w:val="%4."/>
      <w:lvlJc w:val="left"/>
      <w:pPr>
        <w:tabs>
          <w:tab w:val="left" w:pos="2100"/>
        </w:tabs>
        <w:ind w:left="2099" w:hanging="419"/>
      </w:pPr>
      <w:rPr>
        <w:rFonts w:hint="eastAsia"/>
      </w:rPr>
    </w:lvl>
    <w:lvl w:ilvl="4" w:tentative="0">
      <w:start w:val="1"/>
      <w:numFmt w:val="lowerLetter"/>
      <w:lvlText w:val="%5)"/>
      <w:lvlJc w:val="left"/>
      <w:pPr>
        <w:tabs>
          <w:tab w:val="left" w:pos="2520"/>
        </w:tabs>
        <w:ind w:left="2519" w:hanging="419"/>
      </w:pPr>
      <w:rPr>
        <w:rFonts w:hint="eastAsia"/>
      </w:rPr>
    </w:lvl>
    <w:lvl w:ilvl="5" w:tentative="0">
      <w:start w:val="1"/>
      <w:numFmt w:val="lowerRoman"/>
      <w:lvlText w:val="%6."/>
      <w:lvlJc w:val="right"/>
      <w:pPr>
        <w:tabs>
          <w:tab w:val="left" w:pos="2940"/>
        </w:tabs>
        <w:ind w:left="2939" w:hanging="419"/>
      </w:pPr>
      <w:rPr>
        <w:rFonts w:hint="eastAsia"/>
      </w:rPr>
    </w:lvl>
    <w:lvl w:ilvl="6" w:tentative="0">
      <w:start w:val="1"/>
      <w:numFmt w:val="decimal"/>
      <w:lvlText w:val="%7."/>
      <w:lvlJc w:val="left"/>
      <w:pPr>
        <w:tabs>
          <w:tab w:val="left" w:pos="3360"/>
        </w:tabs>
        <w:ind w:left="3359" w:hanging="419"/>
      </w:pPr>
      <w:rPr>
        <w:rFonts w:hint="eastAsia"/>
      </w:rPr>
    </w:lvl>
    <w:lvl w:ilvl="7" w:tentative="0">
      <w:start w:val="1"/>
      <w:numFmt w:val="lowerLetter"/>
      <w:lvlText w:val="%8)"/>
      <w:lvlJc w:val="left"/>
      <w:pPr>
        <w:tabs>
          <w:tab w:val="left" w:pos="3780"/>
        </w:tabs>
        <w:ind w:left="3779" w:hanging="419"/>
      </w:pPr>
      <w:rPr>
        <w:rFonts w:hint="eastAsia"/>
      </w:rPr>
    </w:lvl>
    <w:lvl w:ilvl="8" w:tentative="0">
      <w:start w:val="1"/>
      <w:numFmt w:val="lowerRoman"/>
      <w:lvlText w:val="%9."/>
      <w:lvlJc w:val="right"/>
      <w:pPr>
        <w:tabs>
          <w:tab w:val="left" w:pos="4200"/>
        </w:tabs>
        <w:ind w:left="4199" w:hanging="419"/>
      </w:pPr>
      <w:rPr>
        <w:rFonts w:hint="eastAsia"/>
      </w:rPr>
    </w:lvl>
  </w:abstractNum>
  <w:abstractNum w:abstractNumId="13">
    <w:nsid w:val="48802D1C"/>
    <w:multiLevelType w:val="multilevel"/>
    <w:tmpl w:val="48802D1C"/>
    <w:lvl w:ilvl="0" w:tentative="0">
      <w:start w:val="1"/>
      <w:numFmt w:val="upperLetter"/>
      <w:pStyle w:val="198"/>
      <w:lvlText w:val="%1"/>
      <w:lvlJc w:val="left"/>
      <w:pPr>
        <w:ind w:left="420" w:hanging="420"/>
      </w:pPr>
      <w:rPr>
        <w:rFonts w:hint="eastAsia"/>
      </w:rPr>
    </w:lvl>
    <w:lvl w:ilvl="1" w:tentative="0">
      <w:start w:val="1"/>
      <w:numFmt w:val="decimal"/>
      <w:pStyle w:val="83"/>
      <w:suff w:val="space"/>
      <w:lvlText w:val="图%1.%2"/>
      <w:lvlJc w:val="center"/>
      <w:pPr>
        <w:ind w:left="0" w:firstLine="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14">
    <w:nsid w:val="4B733A5F"/>
    <w:multiLevelType w:val="multilevel"/>
    <w:tmpl w:val="4B733A5F"/>
    <w:lvl w:ilvl="0" w:tentative="0">
      <w:start w:val="1"/>
      <w:numFmt w:val="decimal"/>
      <w:pStyle w:val="183"/>
      <w:suff w:val="nothing"/>
      <w:lvlText w:val="示例%1："/>
      <w:lvlJc w:val="left"/>
      <w:pPr>
        <w:ind w:left="0" w:firstLine="363"/>
      </w:pPr>
      <w:rPr>
        <w:rFonts w:hint="eastAsia" w:ascii="黑体" w:eastAsia="黑体"/>
        <w:b w:val="0"/>
        <w:i w:val="0"/>
        <w:sz w:val="18"/>
      </w:rPr>
    </w:lvl>
    <w:lvl w:ilvl="1" w:tentative="0">
      <w:start w:val="1"/>
      <w:numFmt w:val="none"/>
      <w:suff w:val="space"/>
      <w:lvlText w:val=""/>
      <w:lvlJc w:val="left"/>
      <w:pPr>
        <w:ind w:left="0" w:firstLine="0"/>
      </w:pPr>
      <w:rPr>
        <w:rFonts w:hint="eastAsia"/>
      </w:rPr>
    </w:lvl>
    <w:lvl w:ilvl="2" w:tentative="0">
      <w:start w:val="1"/>
      <w:numFmt w:val="decimal"/>
      <w:suff w:val="space"/>
      <w:lvlText w:val="2.2.%3"/>
      <w:lvlJc w:val="left"/>
      <w:pPr>
        <w:ind w:left="0" w:firstLine="0"/>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5">
    <w:nsid w:val="4E5D0534"/>
    <w:multiLevelType w:val="multilevel"/>
    <w:tmpl w:val="4E5D0534"/>
    <w:lvl w:ilvl="0" w:tentative="0">
      <w:start w:val="1"/>
      <w:numFmt w:val="decimal"/>
      <w:pStyle w:val="116"/>
      <w:suff w:val="nothing"/>
      <w:lvlText w:val="Figur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6">
    <w:nsid w:val="54632751"/>
    <w:multiLevelType w:val="multilevel"/>
    <w:tmpl w:val="54632751"/>
    <w:lvl w:ilvl="0" w:tentative="0">
      <w:start w:val="1"/>
      <w:numFmt w:val="none"/>
      <w:pStyle w:val="93"/>
      <w:suff w:val="nothing"/>
      <w:lvlText w:val="——"/>
      <w:lvlJc w:val="left"/>
      <w:pPr>
        <w:ind w:left="1588" w:firstLine="0"/>
      </w:pPr>
    </w:lvl>
    <w:lvl w:ilvl="1" w:tentative="0">
      <w:start w:val="1"/>
      <w:numFmt w:val="decimal"/>
      <w:suff w:val="nothing"/>
      <w:lvlText w:val="%1.%2　"/>
      <w:lvlJc w:val="left"/>
      <w:pPr>
        <w:ind w:left="1588" w:firstLine="0"/>
      </w:pPr>
    </w:lvl>
    <w:lvl w:ilvl="2" w:tentative="0">
      <w:start w:val="1"/>
      <w:numFmt w:val="decimal"/>
      <w:suff w:val="nothing"/>
      <w:lvlText w:val="%1.%2.%3　"/>
      <w:lvlJc w:val="left"/>
      <w:pPr>
        <w:ind w:left="1588" w:firstLine="0"/>
      </w:pPr>
    </w:lvl>
    <w:lvl w:ilvl="3" w:tentative="0">
      <w:start w:val="1"/>
      <w:numFmt w:val="decimal"/>
      <w:suff w:val="nothing"/>
      <w:lvlText w:val="%1.%2.%3.%4　"/>
      <w:lvlJc w:val="left"/>
      <w:pPr>
        <w:ind w:left="1588" w:firstLine="0"/>
      </w:pPr>
    </w:lvl>
    <w:lvl w:ilvl="4" w:tentative="0">
      <w:start w:val="1"/>
      <w:numFmt w:val="decimal"/>
      <w:suff w:val="nothing"/>
      <w:lvlText w:val="%1.%2.%3.%4.%5　"/>
      <w:lvlJc w:val="left"/>
      <w:pPr>
        <w:ind w:left="1588" w:firstLine="0"/>
      </w:pPr>
    </w:lvl>
    <w:lvl w:ilvl="5" w:tentative="0">
      <w:start w:val="1"/>
      <w:numFmt w:val="decimal"/>
      <w:suff w:val="nothing"/>
      <w:lvlText w:val="%1.%2.%3.%4.%5.%6　"/>
      <w:lvlJc w:val="left"/>
      <w:pPr>
        <w:ind w:left="1588" w:firstLine="0"/>
      </w:pPr>
    </w:lvl>
    <w:lvl w:ilvl="6" w:tentative="0">
      <w:start w:val="1"/>
      <w:numFmt w:val="decimal"/>
      <w:suff w:val="nothing"/>
      <w:lvlText w:val="%1.%2.%3.%4.%5.%6.%7　"/>
      <w:lvlJc w:val="left"/>
      <w:pPr>
        <w:ind w:left="1588" w:firstLine="0"/>
      </w:pPr>
    </w:lvl>
    <w:lvl w:ilvl="7" w:tentative="0">
      <w:start w:val="1"/>
      <w:numFmt w:val="decimal"/>
      <w:lvlText w:val="%1.%2.%3.%4.%5.%6.%7.%8"/>
      <w:lvlJc w:val="left"/>
      <w:pPr>
        <w:tabs>
          <w:tab w:val="left" w:pos="5982"/>
        </w:tabs>
        <w:ind w:left="5982" w:hanging="1418"/>
      </w:pPr>
    </w:lvl>
    <w:lvl w:ilvl="8" w:tentative="0">
      <w:start w:val="1"/>
      <w:numFmt w:val="decimal"/>
      <w:lvlText w:val="%1.%2.%3.%4.%5.%6.%7.%8.%9"/>
      <w:lvlJc w:val="left"/>
      <w:pPr>
        <w:tabs>
          <w:tab w:val="left" w:pos="6690"/>
        </w:tabs>
        <w:ind w:left="6690" w:hanging="1700"/>
      </w:pPr>
    </w:lvl>
  </w:abstractNum>
  <w:abstractNum w:abstractNumId="17">
    <w:nsid w:val="557C2AF5"/>
    <w:multiLevelType w:val="multilevel"/>
    <w:tmpl w:val="557C2AF5"/>
    <w:lvl w:ilvl="0" w:tentative="0">
      <w:start w:val="1"/>
      <w:numFmt w:val="decimal"/>
      <w:pStyle w:val="114"/>
      <w:suff w:val="nothing"/>
      <w:lvlText w:val="图%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18">
    <w:nsid w:val="5603797C"/>
    <w:multiLevelType w:val="multilevel"/>
    <w:tmpl w:val="5603797C"/>
    <w:lvl w:ilvl="0" w:tentative="0">
      <w:start w:val="1"/>
      <w:numFmt w:val="upperLetter"/>
      <w:pStyle w:val="199"/>
      <w:suff w:val="space"/>
      <w:lvlText w:val="%1"/>
      <w:lvlJc w:val="left"/>
      <w:pPr>
        <w:ind w:left="425" w:hanging="425"/>
      </w:pPr>
      <w:rPr>
        <w:rFonts w:hint="eastAsia"/>
      </w:rPr>
    </w:lvl>
    <w:lvl w:ilvl="1" w:tentative="0">
      <w:start w:val="1"/>
      <w:numFmt w:val="decimal"/>
      <w:pStyle w:val="77"/>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19">
    <w:nsid w:val="564D2089"/>
    <w:multiLevelType w:val="multilevel"/>
    <w:tmpl w:val="564D2089"/>
    <w:lvl w:ilvl="0" w:tentative="0">
      <w:start w:val="1"/>
      <w:numFmt w:val="none"/>
      <w:pStyle w:val="111"/>
      <w:lvlText w:val="%1注"/>
      <w:lvlJc w:val="left"/>
      <w:pPr>
        <w:tabs>
          <w:tab w:val="left" w:pos="760"/>
        </w:tabs>
        <w:ind w:left="760" w:hanging="284"/>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0">
    <w:nsid w:val="644622F9"/>
    <w:multiLevelType w:val="multilevel"/>
    <w:tmpl w:val="644622F9"/>
    <w:lvl w:ilvl="0" w:tentative="0">
      <w:start w:val="1"/>
      <w:numFmt w:val="upperRoman"/>
      <w:pStyle w:val="168"/>
      <w:lvlText w:val="%1)"/>
      <w:lvlJc w:val="left"/>
      <w:pPr>
        <w:tabs>
          <w:tab w:val="left" w:pos="851"/>
        </w:tabs>
        <w:ind w:left="851" w:hanging="426"/>
      </w:pPr>
      <w:rPr>
        <w:rFonts w:hint="eastAsia" w:ascii="宋体" w:hAnsi="Times New Roman" w:eastAsia="宋体"/>
        <w:sz w:val="21"/>
      </w:rPr>
    </w:lvl>
    <w:lvl w:ilvl="1" w:tentative="0">
      <w:start w:val="1"/>
      <w:numFmt w:val="lowerLetter"/>
      <w:lvlText w:val="%2)"/>
      <w:lvlJc w:val="left"/>
      <w:pPr>
        <w:tabs>
          <w:tab w:val="left" w:pos="1310"/>
        </w:tabs>
        <w:ind w:left="1310" w:hanging="420"/>
      </w:pPr>
      <w:rPr>
        <w:rFonts w:hint="eastAsia"/>
      </w:rPr>
    </w:lvl>
    <w:lvl w:ilvl="2" w:tentative="0">
      <w:start w:val="1"/>
      <w:numFmt w:val="lowerRoman"/>
      <w:lvlText w:val="%3."/>
      <w:lvlJc w:val="right"/>
      <w:pPr>
        <w:tabs>
          <w:tab w:val="left" w:pos="1730"/>
        </w:tabs>
        <w:ind w:left="1730" w:hanging="420"/>
      </w:pPr>
      <w:rPr>
        <w:rFonts w:hint="eastAsia"/>
      </w:rPr>
    </w:lvl>
    <w:lvl w:ilvl="3" w:tentative="0">
      <w:start w:val="1"/>
      <w:numFmt w:val="decimal"/>
      <w:lvlText w:val="%4."/>
      <w:lvlJc w:val="left"/>
      <w:pPr>
        <w:tabs>
          <w:tab w:val="left" w:pos="2150"/>
        </w:tabs>
        <w:ind w:left="2150" w:hanging="420"/>
      </w:pPr>
      <w:rPr>
        <w:rFonts w:hint="eastAsia"/>
      </w:rPr>
    </w:lvl>
    <w:lvl w:ilvl="4" w:tentative="0">
      <w:start w:val="1"/>
      <w:numFmt w:val="lowerLetter"/>
      <w:lvlText w:val="%5)"/>
      <w:lvlJc w:val="left"/>
      <w:pPr>
        <w:tabs>
          <w:tab w:val="left" w:pos="2570"/>
        </w:tabs>
        <w:ind w:left="2570" w:hanging="420"/>
      </w:pPr>
      <w:rPr>
        <w:rFonts w:hint="eastAsia"/>
      </w:rPr>
    </w:lvl>
    <w:lvl w:ilvl="5" w:tentative="0">
      <w:start w:val="1"/>
      <w:numFmt w:val="lowerRoman"/>
      <w:lvlText w:val="%6."/>
      <w:lvlJc w:val="right"/>
      <w:pPr>
        <w:tabs>
          <w:tab w:val="left" w:pos="2990"/>
        </w:tabs>
        <w:ind w:left="2990" w:hanging="420"/>
      </w:pPr>
      <w:rPr>
        <w:rFonts w:hint="eastAsia"/>
      </w:rPr>
    </w:lvl>
    <w:lvl w:ilvl="6" w:tentative="0">
      <w:start w:val="1"/>
      <w:numFmt w:val="decimal"/>
      <w:lvlText w:val="%7."/>
      <w:lvlJc w:val="left"/>
      <w:pPr>
        <w:tabs>
          <w:tab w:val="left" w:pos="3410"/>
        </w:tabs>
        <w:ind w:left="3410" w:hanging="420"/>
      </w:pPr>
      <w:rPr>
        <w:rFonts w:hint="eastAsia"/>
      </w:rPr>
    </w:lvl>
    <w:lvl w:ilvl="7" w:tentative="0">
      <w:start w:val="1"/>
      <w:numFmt w:val="lowerLetter"/>
      <w:lvlText w:val="%8)"/>
      <w:lvlJc w:val="left"/>
      <w:pPr>
        <w:tabs>
          <w:tab w:val="left" w:pos="3830"/>
        </w:tabs>
        <w:ind w:left="3830" w:hanging="420"/>
      </w:pPr>
      <w:rPr>
        <w:rFonts w:hint="eastAsia"/>
      </w:rPr>
    </w:lvl>
    <w:lvl w:ilvl="8" w:tentative="0">
      <w:start w:val="1"/>
      <w:numFmt w:val="lowerRoman"/>
      <w:lvlText w:val="%9."/>
      <w:lvlJc w:val="right"/>
      <w:pPr>
        <w:tabs>
          <w:tab w:val="left" w:pos="4250"/>
        </w:tabs>
        <w:ind w:left="4250" w:hanging="420"/>
      </w:pPr>
      <w:rPr>
        <w:rFonts w:hint="eastAsia"/>
      </w:rPr>
    </w:lvl>
  </w:abstractNum>
  <w:abstractNum w:abstractNumId="21">
    <w:nsid w:val="646260FA"/>
    <w:multiLevelType w:val="multilevel"/>
    <w:tmpl w:val="646260FA"/>
    <w:lvl w:ilvl="0" w:tentative="0">
      <w:start w:val="1"/>
      <w:numFmt w:val="decimal"/>
      <w:pStyle w:val="112"/>
      <w:suff w:val="nothing"/>
      <w:lvlText w:val="表%1　"/>
      <w:lvlJc w:val="left"/>
      <w:pPr>
        <w:ind w:left="0" w:firstLine="0"/>
      </w:pPr>
    </w:lvl>
    <w:lvl w:ilvl="1" w:tentative="0">
      <w:start w:val="1"/>
      <w:numFmt w:val="decimal"/>
      <w:lvlText w:val="%1.%2"/>
      <w:lvlJc w:val="left"/>
      <w:pPr>
        <w:tabs>
          <w:tab w:val="left" w:pos="992"/>
        </w:tabs>
        <w:ind w:left="992" w:hanging="567"/>
      </w:pPr>
    </w:lvl>
    <w:lvl w:ilvl="2" w:tentative="0">
      <w:start w:val="1"/>
      <w:numFmt w:val="decimal"/>
      <w:lvlText w:val="%1.%2.%3"/>
      <w:lvlJc w:val="left"/>
      <w:pPr>
        <w:tabs>
          <w:tab w:val="left" w:pos="1417"/>
        </w:tabs>
        <w:ind w:left="1417" w:hanging="567"/>
      </w:pPr>
    </w:lvl>
    <w:lvl w:ilvl="3" w:tentative="0">
      <w:start w:val="1"/>
      <w:numFmt w:val="decimal"/>
      <w:lvlText w:val="%1.%2.%3.%4"/>
      <w:lvlJc w:val="left"/>
      <w:pPr>
        <w:tabs>
          <w:tab w:val="left" w:pos="1984"/>
        </w:tabs>
        <w:ind w:left="1984" w:hanging="708"/>
      </w:pPr>
    </w:lvl>
    <w:lvl w:ilvl="4" w:tentative="0">
      <w:start w:val="1"/>
      <w:numFmt w:val="decimal"/>
      <w:lvlText w:val="%1.%2.%3.%4.%5"/>
      <w:lvlJc w:val="left"/>
      <w:pPr>
        <w:tabs>
          <w:tab w:val="left" w:pos="2551"/>
        </w:tabs>
        <w:ind w:left="2551" w:hanging="850"/>
      </w:pPr>
    </w:lvl>
    <w:lvl w:ilvl="5" w:tentative="0">
      <w:start w:val="1"/>
      <w:numFmt w:val="decimal"/>
      <w:lvlText w:val="%1.%2.%3.%4.%5.%6"/>
      <w:lvlJc w:val="left"/>
      <w:pPr>
        <w:tabs>
          <w:tab w:val="left" w:pos="3260"/>
        </w:tabs>
        <w:ind w:left="3260" w:hanging="1134"/>
      </w:pPr>
    </w:lvl>
    <w:lvl w:ilvl="6" w:tentative="0">
      <w:start w:val="1"/>
      <w:numFmt w:val="decimal"/>
      <w:lvlText w:val="%1.%2.%3.%4.%5.%6.%7"/>
      <w:lvlJc w:val="left"/>
      <w:pPr>
        <w:tabs>
          <w:tab w:val="left" w:pos="3827"/>
        </w:tabs>
        <w:ind w:left="3827" w:hanging="1276"/>
      </w:pPr>
    </w:lvl>
    <w:lvl w:ilvl="7" w:tentative="0">
      <w:start w:val="1"/>
      <w:numFmt w:val="decimal"/>
      <w:lvlText w:val="%1.%2.%3.%4.%5.%6.%7.%8"/>
      <w:lvlJc w:val="left"/>
      <w:pPr>
        <w:tabs>
          <w:tab w:val="left" w:pos="4394"/>
        </w:tabs>
        <w:ind w:left="4394" w:hanging="1418"/>
      </w:pPr>
    </w:lvl>
    <w:lvl w:ilvl="8" w:tentative="0">
      <w:start w:val="1"/>
      <w:numFmt w:val="decimal"/>
      <w:lvlText w:val="%1.%2.%3.%4.%5.%6.%7.%8.%9"/>
      <w:lvlJc w:val="left"/>
      <w:pPr>
        <w:tabs>
          <w:tab w:val="left" w:pos="5102"/>
        </w:tabs>
        <w:ind w:left="5102" w:hanging="1700"/>
      </w:pPr>
    </w:lvl>
  </w:abstractNum>
  <w:abstractNum w:abstractNumId="22">
    <w:nsid w:val="654A26C9"/>
    <w:multiLevelType w:val="multilevel"/>
    <w:tmpl w:val="654A26C9"/>
    <w:lvl w:ilvl="0" w:tentative="0">
      <w:start w:val="1"/>
      <w:numFmt w:val="none"/>
      <w:pStyle w:val="189"/>
      <w:lvlText w:val="──"/>
      <w:lvlJc w:val="left"/>
      <w:pPr>
        <w:ind w:left="851" w:firstLine="0"/>
      </w:pPr>
      <w:rPr>
        <w:rFonts w:hint="eastAsia" w:ascii="宋体" w:eastAsia="宋体" w:hAnsiTheme="majorHAnsi"/>
        <w:b w:val="0"/>
        <w:i w:val="0"/>
        <w:sz w:val="21"/>
      </w:rPr>
    </w:lvl>
    <w:lvl w:ilvl="1" w:tentative="0">
      <w:start w:val="1"/>
      <w:numFmt w:val="bullet"/>
      <w:lvlText w:val=""/>
      <w:lvlJc w:val="left"/>
      <w:pPr>
        <w:ind w:left="1276" w:hanging="425"/>
      </w:pPr>
      <w:rPr>
        <w:rFonts w:hint="default" w:ascii="Wingdings" w:hAnsi="Wingdings"/>
      </w:rPr>
    </w:lvl>
    <w:lvl w:ilvl="2" w:tentative="0">
      <w:start w:val="1"/>
      <w:numFmt w:val="bullet"/>
      <w:lvlText w:val=""/>
      <w:lvlJc w:val="left"/>
      <w:pPr>
        <w:ind w:left="1276" w:hanging="236"/>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23">
    <w:nsid w:val="657D3FBC"/>
    <w:multiLevelType w:val="multilevel"/>
    <w:tmpl w:val="657D3FBC"/>
    <w:lvl w:ilvl="0" w:tentative="0">
      <w:start w:val="1"/>
      <w:numFmt w:val="upperLetter"/>
      <w:pStyle w:val="76"/>
      <w:suff w:val="nothing"/>
      <w:lvlText w:val="附录%1"/>
      <w:lvlJc w:val="left"/>
      <w:pPr>
        <w:ind w:left="0" w:firstLine="0"/>
      </w:pPr>
      <w:rPr>
        <w:rFonts w:hint="eastAsia"/>
        <w:spacing w:val="100"/>
      </w:rPr>
    </w:lvl>
    <w:lvl w:ilvl="1" w:tentative="0">
      <w:start w:val="1"/>
      <w:numFmt w:val="decimal"/>
      <w:pStyle w:val="78"/>
      <w:suff w:val="nothing"/>
      <w:lvlText w:val="%1.%2　"/>
      <w:lvlJc w:val="left"/>
      <w:pPr>
        <w:ind w:left="0" w:firstLine="0"/>
      </w:pPr>
      <w:rPr>
        <w:rFonts w:hint="eastAsia" w:ascii="黑体" w:eastAsia="黑体"/>
        <w:b w:val="0"/>
        <w:i w:val="0"/>
        <w:sz w:val="21"/>
      </w:rPr>
    </w:lvl>
    <w:lvl w:ilvl="2" w:tentative="0">
      <w:start w:val="1"/>
      <w:numFmt w:val="decimal"/>
      <w:pStyle w:val="79"/>
      <w:suff w:val="nothing"/>
      <w:lvlText w:val="%1.%2.%3　"/>
      <w:lvlJc w:val="left"/>
      <w:pPr>
        <w:ind w:left="0" w:firstLine="0"/>
      </w:pPr>
      <w:rPr>
        <w:rFonts w:hint="eastAsia" w:ascii="黑体" w:eastAsia="黑体"/>
        <w:b w:val="0"/>
        <w:i w:val="0"/>
        <w:sz w:val="21"/>
      </w:rPr>
    </w:lvl>
    <w:lvl w:ilvl="3" w:tentative="0">
      <w:start w:val="1"/>
      <w:numFmt w:val="decimal"/>
      <w:pStyle w:val="81"/>
      <w:suff w:val="nothing"/>
      <w:lvlText w:val="%1.%2.%3.%4　"/>
      <w:lvlJc w:val="left"/>
      <w:pPr>
        <w:ind w:left="0" w:firstLine="0"/>
      </w:pPr>
      <w:rPr>
        <w:rFonts w:hint="eastAsia" w:ascii="黑体" w:eastAsia="黑体"/>
        <w:b w:val="0"/>
        <w:i w:val="0"/>
        <w:sz w:val="21"/>
      </w:rPr>
    </w:lvl>
    <w:lvl w:ilvl="4" w:tentative="0">
      <w:start w:val="1"/>
      <w:numFmt w:val="decimal"/>
      <w:pStyle w:val="82"/>
      <w:suff w:val="nothing"/>
      <w:lvlText w:val="%1.%2.%3.%4.%5　"/>
      <w:lvlJc w:val="left"/>
      <w:pPr>
        <w:ind w:left="0" w:firstLine="0"/>
      </w:pPr>
      <w:rPr>
        <w:rFonts w:hint="eastAsia" w:ascii="黑体" w:eastAsia="黑体"/>
        <w:b w:val="0"/>
        <w:i w:val="0"/>
        <w:sz w:val="21"/>
      </w:rPr>
    </w:lvl>
    <w:lvl w:ilvl="5" w:tentative="0">
      <w:start w:val="1"/>
      <w:numFmt w:val="decimal"/>
      <w:pStyle w:val="84"/>
      <w:suff w:val="nothing"/>
      <w:lvlText w:val="%1.%2.%3.%4.%5.%6　"/>
      <w:lvlJc w:val="left"/>
      <w:pPr>
        <w:ind w:left="0" w:firstLine="0"/>
      </w:pPr>
      <w:rPr>
        <w:rFonts w:hint="eastAsia" w:ascii="黑体" w:eastAsia="黑体"/>
        <w:b w:val="0"/>
        <w:i w:val="0"/>
        <w:sz w:val="21"/>
      </w:rPr>
    </w:lvl>
    <w:lvl w:ilvl="6" w:tentative="0">
      <w:start w:val="1"/>
      <w:numFmt w:val="decimal"/>
      <w:suff w:val="nothing"/>
      <w:lvlText w:val="%1.%2.%3.%4.%5.%6.%7　"/>
      <w:lvlJc w:val="left"/>
      <w:pPr>
        <w:ind w:left="0" w:firstLine="0"/>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24">
    <w:nsid w:val="69506ABF"/>
    <w:multiLevelType w:val="multilevel"/>
    <w:tmpl w:val="69506ABF"/>
    <w:lvl w:ilvl="0" w:tentative="0">
      <w:start w:val="1"/>
      <w:numFmt w:val="bullet"/>
      <w:pStyle w:val="188"/>
      <w:lvlText w:val=""/>
      <w:lvlJc w:val="left"/>
      <w:pPr>
        <w:ind w:left="851" w:firstLine="0"/>
      </w:pPr>
      <w:rPr>
        <w:rFonts w:hint="default" w:ascii="Wingdings" w:hAnsi="Wingdings"/>
        <w:color w:val="auto"/>
      </w:rPr>
    </w:lvl>
    <w:lvl w:ilvl="1" w:tentative="0">
      <w:start w:val="1"/>
      <w:numFmt w:val="lowerLetter"/>
      <w:lvlText w:val="%2)"/>
      <w:lvlJc w:val="left"/>
      <w:pPr>
        <w:ind w:left="1040" w:hanging="420"/>
      </w:pPr>
      <w:rPr>
        <w:rFonts w:hint="eastAsia"/>
      </w:rPr>
    </w:lvl>
    <w:lvl w:ilvl="2" w:tentative="0">
      <w:start w:val="1"/>
      <w:numFmt w:val="lowerRoman"/>
      <w:lvlText w:val="%3."/>
      <w:lvlJc w:val="right"/>
      <w:pPr>
        <w:ind w:left="1460" w:hanging="420"/>
      </w:pPr>
      <w:rPr>
        <w:rFonts w:hint="eastAsia"/>
      </w:rPr>
    </w:lvl>
    <w:lvl w:ilvl="3" w:tentative="0">
      <w:start w:val="1"/>
      <w:numFmt w:val="decimal"/>
      <w:lvlText w:val="%4."/>
      <w:lvlJc w:val="left"/>
      <w:pPr>
        <w:ind w:left="1880" w:hanging="420"/>
      </w:pPr>
      <w:rPr>
        <w:rFonts w:hint="eastAsia"/>
      </w:rPr>
    </w:lvl>
    <w:lvl w:ilvl="4" w:tentative="0">
      <w:start w:val="1"/>
      <w:numFmt w:val="lowerLetter"/>
      <w:lvlText w:val="%5)"/>
      <w:lvlJc w:val="left"/>
      <w:pPr>
        <w:ind w:left="2300" w:hanging="420"/>
      </w:pPr>
      <w:rPr>
        <w:rFonts w:hint="eastAsia"/>
      </w:rPr>
    </w:lvl>
    <w:lvl w:ilvl="5" w:tentative="0">
      <w:start w:val="1"/>
      <w:numFmt w:val="lowerRoman"/>
      <w:lvlText w:val="%6."/>
      <w:lvlJc w:val="right"/>
      <w:pPr>
        <w:ind w:left="2720" w:hanging="420"/>
      </w:pPr>
      <w:rPr>
        <w:rFonts w:hint="eastAsia"/>
      </w:rPr>
    </w:lvl>
    <w:lvl w:ilvl="6" w:tentative="0">
      <w:start w:val="1"/>
      <w:numFmt w:val="decimal"/>
      <w:lvlText w:val="%7."/>
      <w:lvlJc w:val="left"/>
      <w:pPr>
        <w:ind w:left="3140" w:hanging="420"/>
      </w:pPr>
      <w:rPr>
        <w:rFonts w:hint="eastAsia"/>
      </w:rPr>
    </w:lvl>
    <w:lvl w:ilvl="7" w:tentative="0">
      <w:start w:val="1"/>
      <w:numFmt w:val="lowerLetter"/>
      <w:lvlText w:val="%8)"/>
      <w:lvlJc w:val="left"/>
      <w:pPr>
        <w:ind w:left="3560" w:hanging="420"/>
      </w:pPr>
      <w:rPr>
        <w:rFonts w:hint="eastAsia"/>
      </w:rPr>
    </w:lvl>
    <w:lvl w:ilvl="8" w:tentative="0">
      <w:start w:val="1"/>
      <w:numFmt w:val="lowerRoman"/>
      <w:lvlText w:val="%9."/>
      <w:lvlJc w:val="right"/>
      <w:pPr>
        <w:ind w:left="3980" w:hanging="420"/>
      </w:pPr>
      <w:rPr>
        <w:rFonts w:hint="eastAsia"/>
      </w:rPr>
    </w:lvl>
  </w:abstractNum>
  <w:abstractNum w:abstractNumId="25">
    <w:nsid w:val="6CA41985"/>
    <w:multiLevelType w:val="multilevel"/>
    <w:tmpl w:val="6CA41985"/>
    <w:lvl w:ilvl="0" w:tentative="0">
      <w:start w:val="1"/>
      <w:numFmt w:val="decimal"/>
      <w:pStyle w:val="97"/>
      <w:lvlText w:val="%1)"/>
      <w:lvlJc w:val="left"/>
      <w:pPr>
        <w:tabs>
          <w:tab w:val="left" w:pos="823"/>
        </w:tabs>
        <w:ind w:left="823"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6">
    <w:nsid w:val="6CE42AC1"/>
    <w:multiLevelType w:val="multilevel"/>
    <w:tmpl w:val="6CE42AC1"/>
    <w:lvl w:ilvl="0" w:tentative="0">
      <w:start w:val="1"/>
      <w:numFmt w:val="lowerLetter"/>
      <w:pStyle w:val="173"/>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6CEA2025"/>
    <w:multiLevelType w:val="multilevel"/>
    <w:tmpl w:val="6CEA2025"/>
    <w:lvl w:ilvl="0" w:tentative="0">
      <w:start w:val="1"/>
      <w:numFmt w:val="none"/>
      <w:pStyle w:val="152"/>
      <w:suff w:val="nothing"/>
      <w:lvlText w:val="%1"/>
      <w:lvlJc w:val="left"/>
      <w:pPr>
        <w:ind w:left="0" w:firstLine="0"/>
      </w:pPr>
      <w:rPr>
        <w:rFonts w:hint="eastAsia"/>
      </w:rPr>
    </w:lvl>
    <w:lvl w:ilvl="1" w:tentative="0">
      <w:start w:val="1"/>
      <w:numFmt w:val="decimal"/>
      <w:pStyle w:val="104"/>
      <w:suff w:val="nothing"/>
      <w:lvlText w:val="%1%2　"/>
      <w:lvlJc w:val="left"/>
      <w:pPr>
        <w:ind w:left="0" w:firstLine="0"/>
      </w:pPr>
      <w:rPr>
        <w:rFonts w:hint="eastAsia" w:ascii="黑体" w:eastAsia="黑体"/>
        <w:b w:val="0"/>
        <w:i w:val="0"/>
        <w:sz w:val="21"/>
      </w:rPr>
    </w:lvl>
    <w:lvl w:ilvl="2" w:tentative="0">
      <w:start w:val="1"/>
      <w:numFmt w:val="decimal"/>
      <w:pStyle w:val="105"/>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3" w:tentative="0">
      <w:start w:val="1"/>
      <w:numFmt w:val="decimal"/>
      <w:pStyle w:val="65"/>
      <w:suff w:val="nothing"/>
      <w:lvlText w:val="%1%2.%3.%4　"/>
      <w:lvlJc w:val="left"/>
      <w:pPr>
        <w:ind w:left="0" w:firstLine="0"/>
      </w:pPr>
      <w:rPr>
        <w:rFonts w:hint="eastAsia" w:ascii="黑体" w:eastAsia="黑体"/>
        <w:b w:val="0"/>
        <w:i w:val="0"/>
        <w:sz w:val="21"/>
      </w:rPr>
    </w:lvl>
    <w:lvl w:ilvl="4" w:tentative="0">
      <w:start w:val="1"/>
      <w:numFmt w:val="decimal"/>
      <w:pStyle w:val="94"/>
      <w:suff w:val="nothing"/>
      <w:lvlText w:val="%1%2.%3.%4.%5　"/>
      <w:lvlJc w:val="left"/>
      <w:pPr>
        <w:ind w:left="0" w:firstLine="0"/>
      </w:pPr>
      <w:rPr>
        <w:rFonts w:hint="eastAsia" w:ascii="黑体" w:eastAsia="黑体"/>
        <w:b w:val="0"/>
        <w:i w:val="0"/>
        <w:sz w:val="21"/>
      </w:rPr>
    </w:lvl>
    <w:lvl w:ilvl="5" w:tentative="0">
      <w:start w:val="1"/>
      <w:numFmt w:val="decimal"/>
      <w:pStyle w:val="98"/>
      <w:suff w:val="nothing"/>
      <w:lvlText w:val="%1%2.%3.%4.%5.%6　"/>
      <w:lvlJc w:val="left"/>
      <w:pPr>
        <w:ind w:left="0" w:firstLine="0"/>
      </w:pPr>
      <w:rPr>
        <w:rFonts w:hint="eastAsia" w:ascii="黑体" w:eastAsia="黑体"/>
        <w:b w:val="0"/>
        <w:i w:val="0"/>
        <w:sz w:val="21"/>
      </w:rPr>
    </w:lvl>
    <w:lvl w:ilvl="6" w:tentative="0">
      <w:start w:val="1"/>
      <w:numFmt w:val="decimal"/>
      <w:pStyle w:val="103"/>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28">
    <w:nsid w:val="6DBF04F4"/>
    <w:multiLevelType w:val="multilevel"/>
    <w:tmpl w:val="6DBF04F4"/>
    <w:lvl w:ilvl="0" w:tentative="0">
      <w:start w:val="1"/>
      <w:numFmt w:val="none"/>
      <w:pStyle w:val="179"/>
      <w:lvlText w:val="%1注："/>
      <w:lvlJc w:val="left"/>
      <w:pPr>
        <w:ind w:left="737" w:hanging="374"/>
      </w:pPr>
      <w:rPr>
        <w:rFonts w:hint="eastAsia" w:ascii="黑体" w:eastAsia="黑体"/>
        <w:b w:val="0"/>
        <w:i w:val="0"/>
        <w:sz w:val="18"/>
      </w:rPr>
    </w:lvl>
    <w:lvl w:ilvl="1" w:tentative="0">
      <w:start w:val="1"/>
      <w:numFmt w:val="lowerLetter"/>
      <w:lvlText w:val="%2)"/>
      <w:lvlJc w:val="left"/>
      <w:pPr>
        <w:tabs>
          <w:tab w:val="left" w:pos="1140"/>
        </w:tabs>
        <w:ind w:left="726" w:hanging="363"/>
      </w:pPr>
      <w:rPr>
        <w:rFonts w:hint="eastAsia"/>
      </w:rPr>
    </w:lvl>
    <w:lvl w:ilvl="2" w:tentative="0">
      <w:start w:val="1"/>
      <w:numFmt w:val="lowerRoman"/>
      <w:lvlText w:val="%3."/>
      <w:lvlJc w:val="right"/>
      <w:pPr>
        <w:tabs>
          <w:tab w:val="left" w:pos="1140"/>
        </w:tabs>
        <w:ind w:left="726" w:hanging="363"/>
      </w:pPr>
      <w:rPr>
        <w:rFonts w:hint="eastAsia"/>
      </w:rPr>
    </w:lvl>
    <w:lvl w:ilvl="3" w:tentative="0">
      <w:start w:val="1"/>
      <w:numFmt w:val="decimal"/>
      <w:lvlText w:val="%4."/>
      <w:lvlJc w:val="left"/>
      <w:pPr>
        <w:tabs>
          <w:tab w:val="left" w:pos="1140"/>
        </w:tabs>
        <w:ind w:left="726" w:hanging="363"/>
      </w:pPr>
      <w:rPr>
        <w:rFonts w:hint="eastAsia"/>
      </w:rPr>
    </w:lvl>
    <w:lvl w:ilvl="4" w:tentative="0">
      <w:start w:val="1"/>
      <w:numFmt w:val="lowerLetter"/>
      <w:lvlText w:val="%5)"/>
      <w:lvlJc w:val="left"/>
      <w:pPr>
        <w:tabs>
          <w:tab w:val="left" w:pos="1140"/>
        </w:tabs>
        <w:ind w:left="726" w:hanging="363"/>
      </w:pPr>
      <w:rPr>
        <w:rFonts w:hint="eastAsia"/>
      </w:rPr>
    </w:lvl>
    <w:lvl w:ilvl="5" w:tentative="0">
      <w:start w:val="1"/>
      <w:numFmt w:val="lowerRoman"/>
      <w:lvlText w:val="%6."/>
      <w:lvlJc w:val="right"/>
      <w:pPr>
        <w:tabs>
          <w:tab w:val="left" w:pos="1140"/>
        </w:tabs>
        <w:ind w:left="726" w:hanging="363"/>
      </w:pPr>
      <w:rPr>
        <w:rFonts w:hint="eastAsia"/>
      </w:rPr>
    </w:lvl>
    <w:lvl w:ilvl="6" w:tentative="0">
      <w:start w:val="1"/>
      <w:numFmt w:val="decimal"/>
      <w:lvlText w:val="%7."/>
      <w:lvlJc w:val="left"/>
      <w:pPr>
        <w:tabs>
          <w:tab w:val="left" w:pos="1140"/>
        </w:tabs>
        <w:ind w:left="726" w:hanging="363"/>
      </w:pPr>
      <w:rPr>
        <w:rFonts w:hint="eastAsia"/>
      </w:rPr>
    </w:lvl>
    <w:lvl w:ilvl="7" w:tentative="0">
      <w:start w:val="1"/>
      <w:numFmt w:val="lowerLetter"/>
      <w:lvlText w:val="%8)"/>
      <w:lvlJc w:val="left"/>
      <w:pPr>
        <w:tabs>
          <w:tab w:val="left" w:pos="1140"/>
        </w:tabs>
        <w:ind w:left="726" w:hanging="363"/>
      </w:pPr>
      <w:rPr>
        <w:rFonts w:hint="eastAsia"/>
      </w:rPr>
    </w:lvl>
    <w:lvl w:ilvl="8" w:tentative="0">
      <w:start w:val="1"/>
      <w:numFmt w:val="lowerRoman"/>
      <w:lvlText w:val="%9."/>
      <w:lvlJc w:val="right"/>
      <w:pPr>
        <w:tabs>
          <w:tab w:val="left" w:pos="1140"/>
        </w:tabs>
        <w:ind w:left="726" w:hanging="363"/>
      </w:pPr>
      <w:rPr>
        <w:rFonts w:hint="eastAsia"/>
      </w:rPr>
    </w:lvl>
  </w:abstractNum>
  <w:abstractNum w:abstractNumId="29">
    <w:nsid w:val="6DF35F19"/>
    <w:multiLevelType w:val="multilevel"/>
    <w:tmpl w:val="6DF35F19"/>
    <w:lvl w:ilvl="0" w:tentative="0">
      <w:start w:val="1"/>
      <w:numFmt w:val="decimal"/>
      <w:pStyle w:val="115"/>
      <w:suff w:val="nothing"/>
      <w:lvlText w:val="Table %1　"/>
      <w:lvlJc w:val="left"/>
      <w:pPr>
        <w:ind w:left="0"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30">
    <w:nsid w:val="76933334"/>
    <w:multiLevelType w:val="multilevel"/>
    <w:tmpl w:val="76933334"/>
    <w:lvl w:ilvl="0" w:tentative="0">
      <w:start w:val="1"/>
      <w:numFmt w:val="none"/>
      <w:pStyle w:val="139"/>
      <w:lvlText w:val="%1——"/>
      <w:lvlJc w:val="left"/>
      <w:pPr>
        <w:tabs>
          <w:tab w:val="left" w:pos="330"/>
        </w:tabs>
        <w:ind w:left="948"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27"/>
  </w:num>
  <w:num w:numId="3">
    <w:abstractNumId w:val="5"/>
  </w:num>
  <w:num w:numId="4">
    <w:abstractNumId w:val="23"/>
  </w:num>
  <w:num w:numId="5">
    <w:abstractNumId w:val="18"/>
  </w:num>
  <w:num w:numId="6">
    <w:abstractNumId w:val="13"/>
  </w:num>
  <w:num w:numId="7">
    <w:abstractNumId w:val="8"/>
  </w:num>
  <w:num w:numId="8">
    <w:abstractNumId w:val="3"/>
  </w:num>
  <w:num w:numId="9">
    <w:abstractNumId w:val="9"/>
  </w:num>
  <w:num w:numId="10">
    <w:abstractNumId w:val="16"/>
  </w:num>
  <w:num w:numId="11">
    <w:abstractNumId w:val="25"/>
  </w:num>
  <w:num w:numId="12">
    <w:abstractNumId w:val="11"/>
  </w:num>
  <w:num w:numId="13">
    <w:abstractNumId w:val="12"/>
  </w:num>
  <w:num w:numId="14">
    <w:abstractNumId w:val="7"/>
  </w:num>
  <w:num w:numId="15">
    <w:abstractNumId w:val="19"/>
  </w:num>
  <w:num w:numId="16">
    <w:abstractNumId w:val="21"/>
  </w:num>
  <w:num w:numId="17">
    <w:abstractNumId w:val="17"/>
  </w:num>
  <w:num w:numId="18">
    <w:abstractNumId w:val="29"/>
  </w:num>
  <w:num w:numId="19">
    <w:abstractNumId w:val="15"/>
  </w:num>
  <w:num w:numId="20">
    <w:abstractNumId w:val="1"/>
  </w:num>
  <w:num w:numId="21">
    <w:abstractNumId w:val="10"/>
  </w:num>
  <w:num w:numId="22">
    <w:abstractNumId w:val="30"/>
  </w:num>
  <w:num w:numId="23">
    <w:abstractNumId w:val="20"/>
  </w:num>
  <w:num w:numId="24">
    <w:abstractNumId w:val="6"/>
  </w:num>
  <w:num w:numId="25">
    <w:abstractNumId w:val="26"/>
  </w:num>
  <w:num w:numId="26">
    <w:abstractNumId w:val="28"/>
  </w:num>
  <w:num w:numId="27">
    <w:abstractNumId w:val="2"/>
  </w:num>
  <w:num w:numId="28">
    <w:abstractNumId w:val="4"/>
  </w:num>
  <w:num w:numId="29">
    <w:abstractNumId w:val="14"/>
  </w:num>
  <w:num w:numId="30">
    <w:abstractNumId w:val="24"/>
  </w:num>
  <w:num w:numId="31">
    <w:abstractNumId w:val="22"/>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0"/>
  <w:bordersDoNotSurroundHeader w:val="0"/>
  <w:bordersDoNotSurroundFooter w:val="0"/>
  <w:attachedTemplate r:id="rId1"/>
  <w:documentProtection w:edit="forms" w:enforcement="1" w:cryptProviderType="rsaAES" w:cryptAlgorithmClass="hash" w:cryptAlgorithmType="typeAny" w:cryptAlgorithmSid="14" w:cryptSpinCount="100000" w:hash="Llt2EuhqsmJfyLuXNnBpS9RFdhmHJlczjEbV8J53HTbBUNwOdh3Uvm5LbGlUSzcreQslS+EKSYScmERI6VTnBQ==" w:salt="/Apk3U+SAOO9PYRiu/bpLQ=="/>
  <w:defaultTabStop w:val="420"/>
  <w:drawingGridHorizontalSpacing w:val="105"/>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dhM2RkMzFkNGUwYWNjOGYyNzljNDYxNmU0OGZkN2UifQ=="/>
  </w:docVars>
  <w:rsids>
    <w:rsidRoot w:val="00F53A31"/>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611A"/>
    <w:rsid w:val="00067F1E"/>
    <w:rsid w:val="00071CC0"/>
    <w:rsid w:val="00073C8C"/>
    <w:rsid w:val="00075924"/>
    <w:rsid w:val="00077B64"/>
    <w:rsid w:val="00080A1C"/>
    <w:rsid w:val="00082317"/>
    <w:rsid w:val="00083D2C"/>
    <w:rsid w:val="00086AA1"/>
    <w:rsid w:val="00087A77"/>
    <w:rsid w:val="00090CA6"/>
    <w:rsid w:val="00092B8A"/>
    <w:rsid w:val="00092FB0"/>
    <w:rsid w:val="000934C5"/>
    <w:rsid w:val="00093D25"/>
    <w:rsid w:val="00093DAB"/>
    <w:rsid w:val="00094D73"/>
    <w:rsid w:val="00096D63"/>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F06E1"/>
    <w:rsid w:val="000F0E3C"/>
    <w:rsid w:val="000F19D5"/>
    <w:rsid w:val="000F4AEA"/>
    <w:rsid w:val="000F633F"/>
    <w:rsid w:val="000F67E9"/>
    <w:rsid w:val="00104926"/>
    <w:rsid w:val="00113B1E"/>
    <w:rsid w:val="0011711C"/>
    <w:rsid w:val="0012059C"/>
    <w:rsid w:val="001223E7"/>
    <w:rsid w:val="00124E4F"/>
    <w:rsid w:val="001260B7"/>
    <w:rsid w:val="001265CB"/>
    <w:rsid w:val="001321C6"/>
    <w:rsid w:val="001325C4"/>
    <w:rsid w:val="00133010"/>
    <w:rsid w:val="001338EE"/>
    <w:rsid w:val="00133AAE"/>
    <w:rsid w:val="00135323"/>
    <w:rsid w:val="001356C4"/>
    <w:rsid w:val="00141114"/>
    <w:rsid w:val="00142969"/>
    <w:rsid w:val="001446C2"/>
    <w:rsid w:val="001457E7"/>
    <w:rsid w:val="00145D9D"/>
    <w:rsid w:val="00146388"/>
    <w:rsid w:val="001529E5"/>
    <w:rsid w:val="00153C7E"/>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90087"/>
    <w:rsid w:val="001913C4"/>
    <w:rsid w:val="0019348F"/>
    <w:rsid w:val="00193A07"/>
    <w:rsid w:val="00194C95"/>
    <w:rsid w:val="00195C34"/>
    <w:rsid w:val="00196EF5"/>
    <w:rsid w:val="001A1A53"/>
    <w:rsid w:val="001A234A"/>
    <w:rsid w:val="001A4CF3"/>
    <w:rsid w:val="001B06E8"/>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411C"/>
    <w:rsid w:val="001E1B6A"/>
    <w:rsid w:val="001E2484"/>
    <w:rsid w:val="001E3CC4"/>
    <w:rsid w:val="001E4882"/>
    <w:rsid w:val="001E73AB"/>
    <w:rsid w:val="001F092D"/>
    <w:rsid w:val="001F143A"/>
    <w:rsid w:val="001F1605"/>
    <w:rsid w:val="001F2508"/>
    <w:rsid w:val="001F4816"/>
    <w:rsid w:val="001F4EE9"/>
    <w:rsid w:val="001F69B4"/>
    <w:rsid w:val="001F77C7"/>
    <w:rsid w:val="00200183"/>
    <w:rsid w:val="00200333"/>
    <w:rsid w:val="0020107D"/>
    <w:rsid w:val="00202AA4"/>
    <w:rsid w:val="002031F7"/>
    <w:rsid w:val="002040E6"/>
    <w:rsid w:val="0020527B"/>
    <w:rsid w:val="00205F2C"/>
    <w:rsid w:val="00210B15"/>
    <w:rsid w:val="002142EA"/>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B25"/>
    <w:rsid w:val="00250BBE"/>
    <w:rsid w:val="002515C2"/>
    <w:rsid w:val="0025194F"/>
    <w:rsid w:val="0026148A"/>
    <w:rsid w:val="00262696"/>
    <w:rsid w:val="00263D25"/>
    <w:rsid w:val="002643C3"/>
    <w:rsid w:val="00264A0C"/>
    <w:rsid w:val="00266EEB"/>
    <w:rsid w:val="00267EF4"/>
    <w:rsid w:val="00270CB8"/>
    <w:rsid w:val="00272B08"/>
    <w:rsid w:val="002771AC"/>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AAB"/>
    <w:rsid w:val="002A4CEA"/>
    <w:rsid w:val="002A5977"/>
    <w:rsid w:val="002A5A13"/>
    <w:rsid w:val="002A757F"/>
    <w:rsid w:val="002A7F44"/>
    <w:rsid w:val="002B0C40"/>
    <w:rsid w:val="002B1966"/>
    <w:rsid w:val="002B318E"/>
    <w:rsid w:val="002B4508"/>
    <w:rsid w:val="002B5779"/>
    <w:rsid w:val="002B7332"/>
    <w:rsid w:val="002B7F51"/>
    <w:rsid w:val="002C09E7"/>
    <w:rsid w:val="002C1E06"/>
    <w:rsid w:val="002C1E1C"/>
    <w:rsid w:val="002C3F07"/>
    <w:rsid w:val="002C5278"/>
    <w:rsid w:val="002C7EBB"/>
    <w:rsid w:val="002D06C1"/>
    <w:rsid w:val="002D42B5"/>
    <w:rsid w:val="002D4F1A"/>
    <w:rsid w:val="002D6EC6"/>
    <w:rsid w:val="002D79AC"/>
    <w:rsid w:val="002E039D"/>
    <w:rsid w:val="002E4D5A"/>
    <w:rsid w:val="002E6326"/>
    <w:rsid w:val="002F30E0"/>
    <w:rsid w:val="002F35E4"/>
    <w:rsid w:val="002F3730"/>
    <w:rsid w:val="002F38E1"/>
    <w:rsid w:val="002F39A2"/>
    <w:rsid w:val="002F7AF6"/>
    <w:rsid w:val="00300E63"/>
    <w:rsid w:val="00302F5F"/>
    <w:rsid w:val="0030441D"/>
    <w:rsid w:val="00306063"/>
    <w:rsid w:val="00313B85"/>
    <w:rsid w:val="00317988"/>
    <w:rsid w:val="003221B4"/>
    <w:rsid w:val="0032258D"/>
    <w:rsid w:val="00322E62"/>
    <w:rsid w:val="00324D13"/>
    <w:rsid w:val="00324D2A"/>
    <w:rsid w:val="00324EDD"/>
    <w:rsid w:val="003331E4"/>
    <w:rsid w:val="00336C64"/>
    <w:rsid w:val="00337162"/>
    <w:rsid w:val="0034194F"/>
    <w:rsid w:val="00344605"/>
    <w:rsid w:val="00344ADC"/>
    <w:rsid w:val="003474AA"/>
    <w:rsid w:val="00350D1D"/>
    <w:rsid w:val="00352C83"/>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5700"/>
    <w:rsid w:val="003974EB"/>
    <w:rsid w:val="00397CC5"/>
    <w:rsid w:val="003A1582"/>
    <w:rsid w:val="003A4077"/>
    <w:rsid w:val="003B09AD"/>
    <w:rsid w:val="003B1F18"/>
    <w:rsid w:val="003B5BF0"/>
    <w:rsid w:val="003B60BF"/>
    <w:rsid w:val="003B6BE3"/>
    <w:rsid w:val="003C010C"/>
    <w:rsid w:val="003C0A6C"/>
    <w:rsid w:val="003C14F8"/>
    <w:rsid w:val="003C5A43"/>
    <w:rsid w:val="003D0519"/>
    <w:rsid w:val="003D0FF6"/>
    <w:rsid w:val="003D262C"/>
    <w:rsid w:val="003D6D61"/>
    <w:rsid w:val="003D79C6"/>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67A3"/>
    <w:rsid w:val="00432DAA"/>
    <w:rsid w:val="00434305"/>
    <w:rsid w:val="00435DF7"/>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1C44"/>
    <w:rsid w:val="00484936"/>
    <w:rsid w:val="00485C89"/>
    <w:rsid w:val="00486BE3"/>
    <w:rsid w:val="004905E4"/>
    <w:rsid w:val="00490A89"/>
    <w:rsid w:val="00490AB4"/>
    <w:rsid w:val="00492F02"/>
    <w:rsid w:val="004939AE"/>
    <w:rsid w:val="004A12DF"/>
    <w:rsid w:val="004A17E6"/>
    <w:rsid w:val="004A1BA8"/>
    <w:rsid w:val="004A4B57"/>
    <w:rsid w:val="004A63FA"/>
    <w:rsid w:val="004B0272"/>
    <w:rsid w:val="004B2701"/>
    <w:rsid w:val="004B2E1B"/>
    <w:rsid w:val="004B3AA8"/>
    <w:rsid w:val="004B3E93"/>
    <w:rsid w:val="004C1FBC"/>
    <w:rsid w:val="004C3F1D"/>
    <w:rsid w:val="004C458D"/>
    <w:rsid w:val="004C7556"/>
    <w:rsid w:val="004C7E8B"/>
    <w:rsid w:val="004C7E9D"/>
    <w:rsid w:val="004C7F67"/>
    <w:rsid w:val="004D076D"/>
    <w:rsid w:val="004D0EF1"/>
    <w:rsid w:val="004D2253"/>
    <w:rsid w:val="004D4406"/>
    <w:rsid w:val="004D7C42"/>
    <w:rsid w:val="004E0465"/>
    <w:rsid w:val="004E127B"/>
    <w:rsid w:val="004E1C0A"/>
    <w:rsid w:val="004E2B06"/>
    <w:rsid w:val="004E30C5"/>
    <w:rsid w:val="004E4AA5"/>
    <w:rsid w:val="004E4AEE"/>
    <w:rsid w:val="004E59E3"/>
    <w:rsid w:val="004E67C0"/>
    <w:rsid w:val="004F391A"/>
    <w:rsid w:val="004F3CFB"/>
    <w:rsid w:val="004F6456"/>
    <w:rsid w:val="004F696E"/>
    <w:rsid w:val="004F6C71"/>
    <w:rsid w:val="00501139"/>
    <w:rsid w:val="0050363E"/>
    <w:rsid w:val="005039BC"/>
    <w:rsid w:val="005043BB"/>
    <w:rsid w:val="00504A3D"/>
    <w:rsid w:val="00505767"/>
    <w:rsid w:val="005073F0"/>
    <w:rsid w:val="00510A7B"/>
    <w:rsid w:val="00512F6E"/>
    <w:rsid w:val="00513038"/>
    <w:rsid w:val="00514174"/>
    <w:rsid w:val="00516088"/>
    <w:rsid w:val="00516B0B"/>
    <w:rsid w:val="005220EC"/>
    <w:rsid w:val="00523F95"/>
    <w:rsid w:val="00524D65"/>
    <w:rsid w:val="00525B16"/>
    <w:rsid w:val="005317A4"/>
    <w:rsid w:val="00533D04"/>
    <w:rsid w:val="00534804"/>
    <w:rsid w:val="00534BDF"/>
    <w:rsid w:val="005354EA"/>
    <w:rsid w:val="0053585F"/>
    <w:rsid w:val="00535EC4"/>
    <w:rsid w:val="00535ED9"/>
    <w:rsid w:val="0053692B"/>
    <w:rsid w:val="00541853"/>
    <w:rsid w:val="00543BDA"/>
    <w:rsid w:val="005441CC"/>
    <w:rsid w:val="005479DA"/>
    <w:rsid w:val="00547BCC"/>
    <w:rsid w:val="0055013B"/>
    <w:rsid w:val="00551F6F"/>
    <w:rsid w:val="00555044"/>
    <w:rsid w:val="00561475"/>
    <w:rsid w:val="0056487B"/>
    <w:rsid w:val="00564FB9"/>
    <w:rsid w:val="00573D9E"/>
    <w:rsid w:val="005801E3"/>
    <w:rsid w:val="00581802"/>
    <w:rsid w:val="005836A8"/>
    <w:rsid w:val="0058409C"/>
    <w:rsid w:val="00584262"/>
    <w:rsid w:val="00586630"/>
    <w:rsid w:val="00587ADD"/>
    <w:rsid w:val="00591E27"/>
    <w:rsid w:val="00596160"/>
    <w:rsid w:val="005966E2"/>
    <w:rsid w:val="00597007"/>
    <w:rsid w:val="005A0966"/>
    <w:rsid w:val="005A11B7"/>
    <w:rsid w:val="005A260B"/>
    <w:rsid w:val="005A4A1B"/>
    <w:rsid w:val="005A7830"/>
    <w:rsid w:val="005A7FCE"/>
    <w:rsid w:val="005B0F3F"/>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6812"/>
    <w:rsid w:val="005E7881"/>
    <w:rsid w:val="005E78E0"/>
    <w:rsid w:val="005F0D9C"/>
    <w:rsid w:val="005F284E"/>
    <w:rsid w:val="005F4712"/>
    <w:rsid w:val="006015CE"/>
    <w:rsid w:val="00604784"/>
    <w:rsid w:val="00606419"/>
    <w:rsid w:val="00607D29"/>
    <w:rsid w:val="00612952"/>
    <w:rsid w:val="00614CC1"/>
    <w:rsid w:val="00615A9D"/>
    <w:rsid w:val="00617387"/>
    <w:rsid w:val="006205D6"/>
    <w:rsid w:val="006252D8"/>
    <w:rsid w:val="006259BC"/>
    <w:rsid w:val="0062636B"/>
    <w:rsid w:val="00632182"/>
    <w:rsid w:val="00632AE0"/>
    <w:rsid w:val="00633C17"/>
    <w:rsid w:val="00634D9E"/>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72060"/>
    <w:rsid w:val="00672BFD"/>
    <w:rsid w:val="006770F4"/>
    <w:rsid w:val="00677A84"/>
    <w:rsid w:val="00677EAA"/>
    <w:rsid w:val="0068026D"/>
    <w:rsid w:val="00680A27"/>
    <w:rsid w:val="006816A4"/>
    <w:rsid w:val="006819B8"/>
    <w:rsid w:val="006840A6"/>
    <w:rsid w:val="006850CD"/>
    <w:rsid w:val="00685AAB"/>
    <w:rsid w:val="00695D22"/>
    <w:rsid w:val="006A07AA"/>
    <w:rsid w:val="006A25E5"/>
    <w:rsid w:val="006A2B46"/>
    <w:rsid w:val="006A336D"/>
    <w:rsid w:val="006A37B9"/>
    <w:rsid w:val="006B2672"/>
    <w:rsid w:val="006B54BF"/>
    <w:rsid w:val="006B5F44"/>
    <w:rsid w:val="006B5F90"/>
    <w:rsid w:val="006B62E4"/>
    <w:rsid w:val="006C1BBA"/>
    <w:rsid w:val="006C2079"/>
    <w:rsid w:val="006C5A62"/>
    <w:rsid w:val="006C5D68"/>
    <w:rsid w:val="006C6976"/>
    <w:rsid w:val="006C6DD0"/>
    <w:rsid w:val="006D04EA"/>
    <w:rsid w:val="006D0AB7"/>
    <w:rsid w:val="006D16C4"/>
    <w:rsid w:val="006D3E96"/>
    <w:rsid w:val="006D4515"/>
    <w:rsid w:val="006D4BB1"/>
    <w:rsid w:val="006D6593"/>
    <w:rsid w:val="006E23EA"/>
    <w:rsid w:val="006F03A8"/>
    <w:rsid w:val="006F2ACA"/>
    <w:rsid w:val="006F2ADC"/>
    <w:rsid w:val="006F2BFE"/>
    <w:rsid w:val="006F31E9"/>
    <w:rsid w:val="006F6284"/>
    <w:rsid w:val="007002C5"/>
    <w:rsid w:val="00704387"/>
    <w:rsid w:val="00707669"/>
    <w:rsid w:val="00711CBA"/>
    <w:rsid w:val="00711FB5"/>
    <w:rsid w:val="00712A01"/>
    <w:rsid w:val="00714F58"/>
    <w:rsid w:val="00722FBF"/>
    <w:rsid w:val="00722FC2"/>
    <w:rsid w:val="00724879"/>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C43"/>
    <w:rsid w:val="00765EFB"/>
    <w:rsid w:val="007671CA"/>
    <w:rsid w:val="00767C61"/>
    <w:rsid w:val="0077008A"/>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6FD9"/>
    <w:rsid w:val="007A7FFA"/>
    <w:rsid w:val="007B04EB"/>
    <w:rsid w:val="007B0D4F"/>
    <w:rsid w:val="007B5A3D"/>
    <w:rsid w:val="007B5B95"/>
    <w:rsid w:val="007B68EA"/>
    <w:rsid w:val="007B7453"/>
    <w:rsid w:val="007C1E8B"/>
    <w:rsid w:val="007C2D89"/>
    <w:rsid w:val="007C4593"/>
    <w:rsid w:val="007C5309"/>
    <w:rsid w:val="007C6069"/>
    <w:rsid w:val="007D06C4"/>
    <w:rsid w:val="007D1352"/>
    <w:rsid w:val="007D2508"/>
    <w:rsid w:val="007D346A"/>
    <w:rsid w:val="007D6518"/>
    <w:rsid w:val="007D76BD"/>
    <w:rsid w:val="007E0BF1"/>
    <w:rsid w:val="007F0ED8"/>
    <w:rsid w:val="007F0F63"/>
    <w:rsid w:val="007F75CE"/>
    <w:rsid w:val="008013A4"/>
    <w:rsid w:val="008027CE"/>
    <w:rsid w:val="00802F42"/>
    <w:rsid w:val="00804383"/>
    <w:rsid w:val="00804BB7"/>
    <w:rsid w:val="00804D41"/>
    <w:rsid w:val="00810257"/>
    <w:rsid w:val="008104F5"/>
    <w:rsid w:val="00811072"/>
    <w:rsid w:val="00811369"/>
    <w:rsid w:val="008151D0"/>
    <w:rsid w:val="00815419"/>
    <w:rsid w:val="008163C8"/>
    <w:rsid w:val="008164A1"/>
    <w:rsid w:val="00817325"/>
    <w:rsid w:val="008209E6"/>
    <w:rsid w:val="00823303"/>
    <w:rsid w:val="008233B2"/>
    <w:rsid w:val="00823A9F"/>
    <w:rsid w:val="00823C85"/>
    <w:rsid w:val="00825138"/>
    <w:rsid w:val="008269DD"/>
    <w:rsid w:val="00830621"/>
    <w:rsid w:val="0083348C"/>
    <w:rsid w:val="008373D3"/>
    <w:rsid w:val="00840617"/>
    <w:rsid w:val="00840F84"/>
    <w:rsid w:val="00842A47"/>
    <w:rsid w:val="00843C13"/>
    <w:rsid w:val="008454F8"/>
    <w:rsid w:val="0085173A"/>
    <w:rsid w:val="00856316"/>
    <w:rsid w:val="008603CE"/>
    <w:rsid w:val="008620FC"/>
    <w:rsid w:val="008627A5"/>
    <w:rsid w:val="00863E05"/>
    <w:rsid w:val="00865ACA"/>
    <w:rsid w:val="00865D28"/>
    <w:rsid w:val="00865F85"/>
    <w:rsid w:val="00867C10"/>
    <w:rsid w:val="00870439"/>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893"/>
    <w:rsid w:val="008A3215"/>
    <w:rsid w:val="008A57E6"/>
    <w:rsid w:val="008A6F81"/>
    <w:rsid w:val="008A769A"/>
    <w:rsid w:val="008B0C9C"/>
    <w:rsid w:val="008B166D"/>
    <w:rsid w:val="008B17F4"/>
    <w:rsid w:val="008B3615"/>
    <w:rsid w:val="008B4AC4"/>
    <w:rsid w:val="008B50C8"/>
    <w:rsid w:val="008B5281"/>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23A5"/>
    <w:rsid w:val="008F4C29"/>
    <w:rsid w:val="008F70BD"/>
    <w:rsid w:val="008F788F"/>
    <w:rsid w:val="008F7EA2"/>
    <w:rsid w:val="00902722"/>
    <w:rsid w:val="009027BC"/>
    <w:rsid w:val="009062E6"/>
    <w:rsid w:val="00911BE5"/>
    <w:rsid w:val="00913CA9"/>
    <w:rsid w:val="009145AE"/>
    <w:rsid w:val="009146CE"/>
    <w:rsid w:val="00914CA7"/>
    <w:rsid w:val="00915C3E"/>
    <w:rsid w:val="009161A8"/>
    <w:rsid w:val="00922D77"/>
    <w:rsid w:val="009245F5"/>
    <w:rsid w:val="009249EC"/>
    <w:rsid w:val="009273B3"/>
    <w:rsid w:val="009305B5"/>
    <w:rsid w:val="009429D5"/>
    <w:rsid w:val="00942BF1"/>
    <w:rsid w:val="00945180"/>
    <w:rsid w:val="00945428"/>
    <w:rsid w:val="0094607B"/>
    <w:rsid w:val="00953604"/>
    <w:rsid w:val="0095496B"/>
    <w:rsid w:val="009610DC"/>
    <w:rsid w:val="00961490"/>
    <w:rsid w:val="0096381A"/>
    <w:rsid w:val="00965E04"/>
    <w:rsid w:val="009674AD"/>
    <w:rsid w:val="00970CDC"/>
    <w:rsid w:val="00977010"/>
    <w:rsid w:val="00977D02"/>
    <w:rsid w:val="009809BB"/>
    <w:rsid w:val="0098364B"/>
    <w:rsid w:val="009911AF"/>
    <w:rsid w:val="00991875"/>
    <w:rsid w:val="00991F92"/>
    <w:rsid w:val="00992985"/>
    <w:rsid w:val="00993889"/>
    <w:rsid w:val="00994461"/>
    <w:rsid w:val="0099551B"/>
    <w:rsid w:val="00997BF1"/>
    <w:rsid w:val="009A089C"/>
    <w:rsid w:val="009A118E"/>
    <w:rsid w:val="009A21CD"/>
    <w:rsid w:val="009A278C"/>
    <w:rsid w:val="009A2BC2"/>
    <w:rsid w:val="009A42C1"/>
    <w:rsid w:val="009A5429"/>
    <w:rsid w:val="009A72AD"/>
    <w:rsid w:val="009B09E0"/>
    <w:rsid w:val="009B0BC5"/>
    <w:rsid w:val="009B1247"/>
    <w:rsid w:val="009B46F9"/>
    <w:rsid w:val="009B6029"/>
    <w:rsid w:val="009B6971"/>
    <w:rsid w:val="009C27F1"/>
    <w:rsid w:val="009C3152"/>
    <w:rsid w:val="009C4CFA"/>
    <w:rsid w:val="009C5070"/>
    <w:rsid w:val="009D112C"/>
    <w:rsid w:val="009D47FA"/>
    <w:rsid w:val="009D4C5B"/>
    <w:rsid w:val="009D50D2"/>
    <w:rsid w:val="009D6BCA"/>
    <w:rsid w:val="009E0F62"/>
    <w:rsid w:val="009E4A58"/>
    <w:rsid w:val="009E5A2D"/>
    <w:rsid w:val="009E5AB2"/>
    <w:rsid w:val="009E6219"/>
    <w:rsid w:val="009F03B3"/>
    <w:rsid w:val="00A0096C"/>
    <w:rsid w:val="00A0119E"/>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984"/>
    <w:rsid w:val="00A32D73"/>
    <w:rsid w:val="00A3367B"/>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4247"/>
    <w:rsid w:val="00A952D7"/>
    <w:rsid w:val="00A963F7"/>
    <w:rsid w:val="00A96AD8"/>
    <w:rsid w:val="00AA052C"/>
    <w:rsid w:val="00AA1E45"/>
    <w:rsid w:val="00AA4286"/>
    <w:rsid w:val="00AA456B"/>
    <w:rsid w:val="00AA57F5"/>
    <w:rsid w:val="00AA672E"/>
    <w:rsid w:val="00AA6EC9"/>
    <w:rsid w:val="00AB41D5"/>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D4D4D"/>
    <w:rsid w:val="00AE070A"/>
    <w:rsid w:val="00AE101C"/>
    <w:rsid w:val="00AE37E5"/>
    <w:rsid w:val="00AE5EB4"/>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654C"/>
    <w:rsid w:val="00B46AF0"/>
    <w:rsid w:val="00B47293"/>
    <w:rsid w:val="00B50E50"/>
    <w:rsid w:val="00B52120"/>
    <w:rsid w:val="00B54ABC"/>
    <w:rsid w:val="00B54DDE"/>
    <w:rsid w:val="00B56FBE"/>
    <w:rsid w:val="00B60ACF"/>
    <w:rsid w:val="00B62B58"/>
    <w:rsid w:val="00B65149"/>
    <w:rsid w:val="00B66567"/>
    <w:rsid w:val="00B66F52"/>
    <w:rsid w:val="00B66FE5"/>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03B"/>
    <w:rsid w:val="00BB5F8F"/>
    <w:rsid w:val="00BB657A"/>
    <w:rsid w:val="00BC1A4E"/>
    <w:rsid w:val="00BC4790"/>
    <w:rsid w:val="00BC5DC7"/>
    <w:rsid w:val="00BC6B8B"/>
    <w:rsid w:val="00BC73D8"/>
    <w:rsid w:val="00BD52D7"/>
    <w:rsid w:val="00BD5AD2"/>
    <w:rsid w:val="00BE22F3"/>
    <w:rsid w:val="00BE5B52"/>
    <w:rsid w:val="00BE7B8D"/>
    <w:rsid w:val="00BF0993"/>
    <w:rsid w:val="00BF10A9"/>
    <w:rsid w:val="00BF1703"/>
    <w:rsid w:val="00BF231C"/>
    <w:rsid w:val="00BF51E5"/>
    <w:rsid w:val="00BF74A6"/>
    <w:rsid w:val="00C013AD"/>
    <w:rsid w:val="00C04904"/>
    <w:rsid w:val="00C056B3"/>
    <w:rsid w:val="00C103E5"/>
    <w:rsid w:val="00C13319"/>
    <w:rsid w:val="00C13EE9"/>
    <w:rsid w:val="00C21540"/>
    <w:rsid w:val="00C21906"/>
    <w:rsid w:val="00C21BFA"/>
    <w:rsid w:val="00C22148"/>
    <w:rsid w:val="00C22B1B"/>
    <w:rsid w:val="00C24C8D"/>
    <w:rsid w:val="00C25FE2"/>
    <w:rsid w:val="00C26B53"/>
    <w:rsid w:val="00C279B2"/>
    <w:rsid w:val="00C32B1E"/>
    <w:rsid w:val="00C33E50"/>
    <w:rsid w:val="00C34C20"/>
    <w:rsid w:val="00C35A3E"/>
    <w:rsid w:val="00C42130"/>
    <w:rsid w:val="00C423A4"/>
    <w:rsid w:val="00C44BF5"/>
    <w:rsid w:val="00C521D6"/>
    <w:rsid w:val="00C55232"/>
    <w:rsid w:val="00C553A4"/>
    <w:rsid w:val="00C5556C"/>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6D6F"/>
    <w:rsid w:val="00C905FC"/>
    <w:rsid w:val="00C92D03"/>
    <w:rsid w:val="00C9319C"/>
    <w:rsid w:val="00C9435D"/>
    <w:rsid w:val="00C94DF2"/>
    <w:rsid w:val="00C96741"/>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E4E"/>
    <w:rsid w:val="00CC6FE8"/>
    <w:rsid w:val="00CC7202"/>
    <w:rsid w:val="00CD2808"/>
    <w:rsid w:val="00CD28BF"/>
    <w:rsid w:val="00CD4092"/>
    <w:rsid w:val="00CD4A20"/>
    <w:rsid w:val="00CD50A1"/>
    <w:rsid w:val="00CD519E"/>
    <w:rsid w:val="00CD561D"/>
    <w:rsid w:val="00CE0C4F"/>
    <w:rsid w:val="00CE30EA"/>
    <w:rsid w:val="00CF048A"/>
    <w:rsid w:val="00CF155A"/>
    <w:rsid w:val="00CF2947"/>
    <w:rsid w:val="00CF686F"/>
    <w:rsid w:val="00CF6E60"/>
    <w:rsid w:val="00CF7BCA"/>
    <w:rsid w:val="00D008FD"/>
    <w:rsid w:val="00D0321C"/>
    <w:rsid w:val="00D035EC"/>
    <w:rsid w:val="00D06AB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2719"/>
    <w:rsid w:val="00D33333"/>
    <w:rsid w:val="00D33457"/>
    <w:rsid w:val="00D352A2"/>
    <w:rsid w:val="00D4162B"/>
    <w:rsid w:val="00D4514F"/>
    <w:rsid w:val="00D451E2"/>
    <w:rsid w:val="00D45E89"/>
    <w:rsid w:val="00D45E8D"/>
    <w:rsid w:val="00D466AE"/>
    <w:rsid w:val="00D4734E"/>
    <w:rsid w:val="00D4734F"/>
    <w:rsid w:val="00D51BF3"/>
    <w:rsid w:val="00D66846"/>
    <w:rsid w:val="00D675FB"/>
    <w:rsid w:val="00D71F25"/>
    <w:rsid w:val="00D72A9C"/>
    <w:rsid w:val="00D77031"/>
    <w:rsid w:val="00D84941"/>
    <w:rsid w:val="00D84FA1"/>
    <w:rsid w:val="00D851F0"/>
    <w:rsid w:val="00D86DB7"/>
    <w:rsid w:val="00D926D0"/>
    <w:rsid w:val="00D93030"/>
    <w:rsid w:val="00D950E1"/>
    <w:rsid w:val="00D952A6"/>
    <w:rsid w:val="00D97F99"/>
    <w:rsid w:val="00DA1E08"/>
    <w:rsid w:val="00DA24F8"/>
    <w:rsid w:val="00DA28E8"/>
    <w:rsid w:val="00DA38D3"/>
    <w:rsid w:val="00DA3932"/>
    <w:rsid w:val="00DA3AFC"/>
    <w:rsid w:val="00DA5191"/>
    <w:rsid w:val="00DA64F8"/>
    <w:rsid w:val="00DA6C15"/>
    <w:rsid w:val="00DB0258"/>
    <w:rsid w:val="00DB38EE"/>
    <w:rsid w:val="00DB498B"/>
    <w:rsid w:val="00DB66CA"/>
    <w:rsid w:val="00DB6BCA"/>
    <w:rsid w:val="00DB73F7"/>
    <w:rsid w:val="00DC0321"/>
    <w:rsid w:val="00DC3067"/>
    <w:rsid w:val="00DC370B"/>
    <w:rsid w:val="00DC5B90"/>
    <w:rsid w:val="00DD00FF"/>
    <w:rsid w:val="00DD0619"/>
    <w:rsid w:val="00DD07FB"/>
    <w:rsid w:val="00DD25C6"/>
    <w:rsid w:val="00DD4FE5"/>
    <w:rsid w:val="00DD54B0"/>
    <w:rsid w:val="00DD57EE"/>
    <w:rsid w:val="00DD6BCC"/>
    <w:rsid w:val="00DE0A4B"/>
    <w:rsid w:val="00DE2410"/>
    <w:rsid w:val="00DE2939"/>
    <w:rsid w:val="00DE6E81"/>
    <w:rsid w:val="00DE703F"/>
    <w:rsid w:val="00DE7595"/>
    <w:rsid w:val="00DF1961"/>
    <w:rsid w:val="00DF44DE"/>
    <w:rsid w:val="00DF5F11"/>
    <w:rsid w:val="00E01138"/>
    <w:rsid w:val="00E02DFB"/>
    <w:rsid w:val="00E030F9"/>
    <w:rsid w:val="00E0311A"/>
    <w:rsid w:val="00E03138"/>
    <w:rsid w:val="00E06404"/>
    <w:rsid w:val="00E065D2"/>
    <w:rsid w:val="00E11A85"/>
    <w:rsid w:val="00E12495"/>
    <w:rsid w:val="00E15CCD"/>
    <w:rsid w:val="00E202EF"/>
    <w:rsid w:val="00E210B5"/>
    <w:rsid w:val="00E23D99"/>
    <w:rsid w:val="00E2552F"/>
    <w:rsid w:val="00E3137A"/>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64CC"/>
    <w:rsid w:val="00E70388"/>
    <w:rsid w:val="00E70F92"/>
    <w:rsid w:val="00E74C54"/>
    <w:rsid w:val="00E77A03"/>
    <w:rsid w:val="00E822E8"/>
    <w:rsid w:val="00E82554"/>
    <w:rsid w:val="00E82606"/>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7DE"/>
    <w:rsid w:val="00EB1E69"/>
    <w:rsid w:val="00EB2086"/>
    <w:rsid w:val="00EB5EDF"/>
    <w:rsid w:val="00EB60FE"/>
    <w:rsid w:val="00EB74DB"/>
    <w:rsid w:val="00EC5359"/>
    <w:rsid w:val="00EC562A"/>
    <w:rsid w:val="00ED067A"/>
    <w:rsid w:val="00ED2B50"/>
    <w:rsid w:val="00EE0350"/>
    <w:rsid w:val="00EE0719"/>
    <w:rsid w:val="00EE0E80"/>
    <w:rsid w:val="00EE54A6"/>
    <w:rsid w:val="00EE613F"/>
    <w:rsid w:val="00EE7295"/>
    <w:rsid w:val="00EE7869"/>
    <w:rsid w:val="00EF054A"/>
    <w:rsid w:val="00EF3235"/>
    <w:rsid w:val="00EF7E72"/>
    <w:rsid w:val="00F06D37"/>
    <w:rsid w:val="00F07B9D"/>
    <w:rsid w:val="00F11586"/>
    <w:rsid w:val="00F1183B"/>
    <w:rsid w:val="00F11C9F"/>
    <w:rsid w:val="00F12263"/>
    <w:rsid w:val="00F1409D"/>
    <w:rsid w:val="00F14214"/>
    <w:rsid w:val="00F157A9"/>
    <w:rsid w:val="00F21A3E"/>
    <w:rsid w:val="00F25BB6"/>
    <w:rsid w:val="00F26B7E"/>
    <w:rsid w:val="00F27A3B"/>
    <w:rsid w:val="00F33817"/>
    <w:rsid w:val="00F420D5"/>
    <w:rsid w:val="00F451EA"/>
    <w:rsid w:val="00F45447"/>
    <w:rsid w:val="00F456C6"/>
    <w:rsid w:val="00F4577B"/>
    <w:rsid w:val="00F46496"/>
    <w:rsid w:val="00F474D0"/>
    <w:rsid w:val="00F50179"/>
    <w:rsid w:val="00F515EE"/>
    <w:rsid w:val="00F53A31"/>
    <w:rsid w:val="00F56511"/>
    <w:rsid w:val="00F60D70"/>
    <w:rsid w:val="00F6194E"/>
    <w:rsid w:val="00F623AC"/>
    <w:rsid w:val="00F6412A"/>
    <w:rsid w:val="00F65893"/>
    <w:rsid w:val="00F66A4A"/>
    <w:rsid w:val="00F71E22"/>
    <w:rsid w:val="00F72142"/>
    <w:rsid w:val="00F72AE7"/>
    <w:rsid w:val="00F81141"/>
    <w:rsid w:val="00F833BA"/>
    <w:rsid w:val="00F84FD0"/>
    <w:rsid w:val="00F859A8"/>
    <w:rsid w:val="00F86D87"/>
    <w:rsid w:val="00F9108B"/>
    <w:rsid w:val="00F91349"/>
    <w:rsid w:val="00F93A8A"/>
    <w:rsid w:val="00F95248"/>
    <w:rsid w:val="00F956A9"/>
    <w:rsid w:val="00F963ED"/>
    <w:rsid w:val="00F966CF"/>
    <w:rsid w:val="00F96CAE"/>
    <w:rsid w:val="00F97C99"/>
    <w:rsid w:val="00FA4DAC"/>
    <w:rsid w:val="00FA662D"/>
    <w:rsid w:val="00FA73B1"/>
    <w:rsid w:val="00FB0CB9"/>
    <w:rsid w:val="00FB231D"/>
    <w:rsid w:val="00FB45F1"/>
    <w:rsid w:val="00FB4A72"/>
    <w:rsid w:val="00FB54E8"/>
    <w:rsid w:val="00FB7054"/>
    <w:rsid w:val="00FC17B7"/>
    <w:rsid w:val="00FC2CB7"/>
    <w:rsid w:val="00FC4090"/>
    <w:rsid w:val="00FC55B4"/>
    <w:rsid w:val="00FD00E6"/>
    <w:rsid w:val="00FD09A1"/>
    <w:rsid w:val="00FD2A7C"/>
    <w:rsid w:val="00FD59EB"/>
    <w:rsid w:val="00FD7299"/>
    <w:rsid w:val="00FE1FBE"/>
    <w:rsid w:val="00FE3901"/>
    <w:rsid w:val="00FE39D3"/>
    <w:rsid w:val="00FE4BCE"/>
    <w:rsid w:val="00FE54AE"/>
    <w:rsid w:val="00FE576A"/>
    <w:rsid w:val="00FE7E79"/>
    <w:rsid w:val="00FF3E7D"/>
    <w:rsid w:val="00FF5B99"/>
    <w:rsid w:val="00FF730C"/>
    <w:rsid w:val="00FF73F4"/>
    <w:rsid w:val="00FF7CE4"/>
    <w:rsid w:val="00FF7E39"/>
    <w:rsid w:val="04A10AC2"/>
    <w:rsid w:val="065247DA"/>
    <w:rsid w:val="07854B6B"/>
    <w:rsid w:val="19E040F5"/>
    <w:rsid w:val="1C116575"/>
    <w:rsid w:val="26F45411"/>
    <w:rsid w:val="35C818F2"/>
    <w:rsid w:val="48F350D1"/>
    <w:rsid w:val="59500AB9"/>
    <w:rsid w:val="5C86208C"/>
    <w:rsid w:val="6B1E3975"/>
    <w:rsid w:val="795D5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uiPriority="39" w:semiHidden="0" w:name="toc 2"/>
    <w:lsdException w:qFormat="1" w:uiPriority="39" w:semiHidden="0" w:name="toc 3"/>
    <w:lsdException w:qFormat="1" w:uiPriority="39" w:semiHidden="0" w:name="toc 4"/>
    <w:lsdException w:qFormat="1" w:uiPriority="39" w:semiHidden="0" w:name="toc 5"/>
    <w:lsdException w:uiPriority="39" w:semiHidden="0" w:name="toc 6"/>
    <w:lsdException w:qFormat="1" w:uiPriority="39" w:semiHidden="0" w:name="toc 7"/>
    <w:lsdException w:uiPriority="0" w:name="toc 8"/>
    <w:lsdException w:uiPriority="0" w:name="toc 9"/>
    <w:lsdException w:qFormat="1" w:unhideWhenUsed="0" w:uiPriority="0" w:semiHidden="0" w:name="Normal Indent"/>
    <w:lsdException w:qFormat="1" w:unhideWhenUsed="0" w:uiPriority="0" w:name="footnote text"/>
    <w:lsdException w:uiPriority="99" w:name="annotation text"/>
    <w:lsdException w:qFormat="1" w:unhideWhenUsed="0" w:uiPriority="99" w:semiHidden="0" w:name="header"/>
    <w:lsdException w:qFormat="1" w:unhideWhenUsed="0" w:uiPriority="99" w:semiHidden="0" w:name="footer"/>
    <w:lsdException w:uiPriority="99" w:name="index heading"/>
    <w:lsdException w:qFormat="1" w:uiPriority="35" w:name="caption"/>
    <w:lsdException w:qFormat="1" w:unhideWhenUsed="0" w:uiPriority="0" w:name="table of figures"/>
    <w:lsdException w:uiPriority="99" w:name="envelope address"/>
    <w:lsdException w:uiPriority="99" w:name="envelope return"/>
    <w:lsdException w:qFormat="1" w:unhideWhenUsed="0" w:uiPriority="0"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400" w:lineRule="exact"/>
      <w:jc w:val="both"/>
    </w:pPr>
    <w:rPr>
      <w:rFonts w:ascii="Calibri" w:hAnsi="Calibri" w:eastAsia="宋体" w:cs="Times New Roman"/>
      <w:kern w:val="2"/>
      <w:sz w:val="21"/>
      <w:szCs w:val="21"/>
      <w:lang w:val="en-US" w:eastAsia="zh-CN" w:bidi="ar-SA"/>
    </w:rPr>
  </w:style>
  <w:style w:type="paragraph" w:styleId="2">
    <w:name w:val="heading 1"/>
    <w:basedOn w:val="1"/>
    <w:next w:val="1"/>
    <w:link w:val="34"/>
    <w:autoRedefine/>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35"/>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link w:val="36"/>
    <w:qFormat/>
    <w:uiPriority w:val="0"/>
    <w:pPr>
      <w:keepNext/>
      <w:keepLines/>
      <w:spacing w:before="260" w:after="260" w:line="416" w:lineRule="auto"/>
      <w:outlineLvl w:val="2"/>
    </w:pPr>
    <w:rPr>
      <w:b/>
      <w:bCs/>
      <w:sz w:val="32"/>
      <w:szCs w:val="32"/>
    </w:rPr>
  </w:style>
  <w:style w:type="paragraph" w:styleId="5">
    <w:name w:val="heading 4"/>
    <w:basedOn w:val="1"/>
    <w:next w:val="1"/>
    <w:link w:val="37"/>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link w:val="38"/>
    <w:qFormat/>
    <w:uiPriority w:val="0"/>
    <w:pPr>
      <w:keepNext/>
      <w:keepLines/>
      <w:adjustRightInd/>
      <w:spacing w:before="280" w:after="290" w:line="376" w:lineRule="auto"/>
      <w:outlineLvl w:val="4"/>
    </w:pPr>
    <w:rPr>
      <w:b/>
      <w:bCs/>
      <w:sz w:val="28"/>
      <w:szCs w:val="28"/>
    </w:rPr>
  </w:style>
  <w:style w:type="paragraph" w:styleId="7">
    <w:name w:val="heading 6"/>
    <w:basedOn w:val="1"/>
    <w:next w:val="1"/>
    <w:link w:val="39"/>
    <w:qFormat/>
    <w:uiPriority w:val="0"/>
    <w:pPr>
      <w:keepNext/>
      <w:keepLines/>
      <w:adjustRightInd/>
      <w:spacing w:before="240" w:after="64" w:line="320" w:lineRule="auto"/>
      <w:outlineLvl w:val="5"/>
    </w:pPr>
    <w:rPr>
      <w:rFonts w:ascii="Arial" w:hAnsi="Arial" w:eastAsia="黑体"/>
      <w:b/>
      <w:bCs/>
      <w:sz w:val="24"/>
      <w:szCs w:val="24"/>
    </w:rPr>
  </w:style>
  <w:style w:type="paragraph" w:styleId="8">
    <w:name w:val="heading 7"/>
    <w:basedOn w:val="1"/>
    <w:next w:val="1"/>
    <w:link w:val="40"/>
    <w:qFormat/>
    <w:uiPriority w:val="0"/>
    <w:pPr>
      <w:keepNext/>
      <w:keepLines/>
      <w:adjustRightInd/>
      <w:spacing w:before="240" w:after="64" w:line="320" w:lineRule="auto"/>
      <w:outlineLvl w:val="6"/>
    </w:pPr>
    <w:rPr>
      <w:b/>
      <w:bCs/>
      <w:sz w:val="24"/>
      <w:szCs w:val="24"/>
    </w:rPr>
  </w:style>
  <w:style w:type="paragraph" w:styleId="9">
    <w:name w:val="heading 8"/>
    <w:basedOn w:val="1"/>
    <w:next w:val="1"/>
    <w:link w:val="41"/>
    <w:qFormat/>
    <w:uiPriority w:val="0"/>
    <w:pPr>
      <w:keepNext/>
      <w:keepLines/>
      <w:adjustRightInd/>
      <w:spacing w:before="240" w:after="64" w:line="320" w:lineRule="auto"/>
      <w:outlineLvl w:val="7"/>
    </w:pPr>
    <w:rPr>
      <w:rFonts w:ascii="Arial" w:hAnsi="Arial" w:eastAsia="黑体"/>
      <w:sz w:val="24"/>
      <w:szCs w:val="24"/>
    </w:rPr>
  </w:style>
  <w:style w:type="paragraph" w:styleId="10">
    <w:name w:val="heading 9"/>
    <w:basedOn w:val="1"/>
    <w:next w:val="1"/>
    <w:link w:val="42"/>
    <w:qFormat/>
    <w:uiPriority w:val="0"/>
    <w:pPr>
      <w:keepNext/>
      <w:keepLines/>
      <w:adjustRightInd/>
      <w:spacing w:before="240" w:after="64" w:line="320" w:lineRule="auto"/>
      <w:outlineLvl w:val="8"/>
    </w:pPr>
    <w:rPr>
      <w:rFonts w:ascii="Arial" w:hAnsi="Arial" w:eastAsia="黑体"/>
    </w:rPr>
  </w:style>
  <w:style w:type="character" w:default="1" w:styleId="28">
    <w:name w:val="Default Paragraph Font"/>
    <w:semiHidden/>
    <w:unhideWhenUsed/>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unhideWhenUsed/>
    <w:qFormat/>
    <w:uiPriority w:val="39"/>
    <w:pPr>
      <w:tabs>
        <w:tab w:val="right" w:leader="dot" w:pos="9344"/>
      </w:tabs>
      <w:spacing w:line="300" w:lineRule="exact"/>
      <w:ind w:left="1259"/>
    </w:pPr>
    <w:rPr>
      <w:rFonts w:ascii="宋体"/>
    </w:rPr>
  </w:style>
  <w:style w:type="paragraph" w:styleId="12">
    <w:name w:val="Normal Indent"/>
    <w:basedOn w:val="1"/>
    <w:qFormat/>
    <w:uiPriority w:val="0"/>
    <w:pPr>
      <w:ind w:firstLine="420"/>
    </w:pPr>
  </w:style>
  <w:style w:type="paragraph" w:styleId="13">
    <w:name w:val="Body Text"/>
    <w:basedOn w:val="1"/>
    <w:link w:val="86"/>
    <w:qFormat/>
    <w:uiPriority w:val="0"/>
    <w:pPr>
      <w:spacing w:after="120"/>
    </w:pPr>
  </w:style>
  <w:style w:type="paragraph" w:styleId="14">
    <w:name w:val="toc 5"/>
    <w:basedOn w:val="1"/>
    <w:next w:val="1"/>
    <w:autoRedefine/>
    <w:unhideWhenUsed/>
    <w:qFormat/>
    <w:uiPriority w:val="39"/>
    <w:pPr>
      <w:ind w:left="839"/>
    </w:pPr>
    <w:rPr>
      <w:rFonts w:ascii="宋体"/>
    </w:rPr>
  </w:style>
  <w:style w:type="paragraph" w:styleId="15">
    <w:name w:val="toc 3"/>
    <w:basedOn w:val="1"/>
    <w:next w:val="1"/>
    <w:autoRedefine/>
    <w:unhideWhenUsed/>
    <w:qFormat/>
    <w:uiPriority w:val="39"/>
    <w:pPr>
      <w:spacing w:line="300" w:lineRule="exact"/>
      <w:ind w:left="420"/>
    </w:pPr>
    <w:rPr>
      <w:rFonts w:ascii="宋体"/>
    </w:rPr>
  </w:style>
  <w:style w:type="paragraph" w:styleId="16">
    <w:name w:val="Balloon Text"/>
    <w:basedOn w:val="1"/>
    <w:link w:val="45"/>
    <w:semiHidden/>
    <w:unhideWhenUsed/>
    <w:qFormat/>
    <w:uiPriority w:val="99"/>
    <w:rPr>
      <w:sz w:val="18"/>
      <w:szCs w:val="18"/>
    </w:rPr>
  </w:style>
  <w:style w:type="paragraph" w:styleId="17">
    <w:name w:val="footer"/>
    <w:basedOn w:val="1"/>
    <w:link w:val="44"/>
    <w:qFormat/>
    <w:uiPriority w:val="99"/>
    <w:pPr>
      <w:tabs>
        <w:tab w:val="center" w:pos="4153"/>
        <w:tab w:val="right" w:pos="8306"/>
      </w:tabs>
      <w:adjustRightInd/>
      <w:snapToGrid w:val="0"/>
      <w:spacing w:line="240" w:lineRule="auto"/>
      <w:jc w:val="right"/>
    </w:pPr>
    <w:rPr>
      <w:rFonts w:ascii="宋体"/>
      <w:sz w:val="18"/>
      <w:szCs w:val="18"/>
    </w:rPr>
  </w:style>
  <w:style w:type="paragraph" w:styleId="18">
    <w:name w:val="header"/>
    <w:basedOn w:val="1"/>
    <w:link w:val="43"/>
    <w:qFormat/>
    <w:uiPriority w:val="99"/>
    <w:pPr>
      <w:tabs>
        <w:tab w:val="center" w:pos="4153"/>
        <w:tab w:val="right" w:pos="8306"/>
      </w:tabs>
      <w:adjustRightInd/>
      <w:snapToGrid w:val="0"/>
      <w:jc w:val="center"/>
    </w:pPr>
    <w:rPr>
      <w:sz w:val="18"/>
      <w:szCs w:val="18"/>
    </w:rPr>
  </w:style>
  <w:style w:type="paragraph" w:styleId="19">
    <w:name w:val="toc 1"/>
    <w:basedOn w:val="1"/>
    <w:next w:val="1"/>
    <w:autoRedefine/>
    <w:unhideWhenUsed/>
    <w:qFormat/>
    <w:uiPriority w:val="39"/>
    <w:rPr>
      <w:rFonts w:ascii="宋体"/>
    </w:rPr>
  </w:style>
  <w:style w:type="paragraph" w:styleId="20">
    <w:name w:val="toc 4"/>
    <w:basedOn w:val="1"/>
    <w:next w:val="1"/>
    <w:autoRedefine/>
    <w:unhideWhenUsed/>
    <w:qFormat/>
    <w:uiPriority w:val="39"/>
    <w:pPr>
      <w:tabs>
        <w:tab w:val="right" w:leader="dot" w:pos="9344"/>
      </w:tabs>
      <w:spacing w:line="300" w:lineRule="exact"/>
      <w:ind w:left="629"/>
    </w:pPr>
    <w:rPr>
      <w:rFonts w:ascii="宋体"/>
    </w:rPr>
  </w:style>
  <w:style w:type="paragraph" w:styleId="21">
    <w:name w:val="footnote text"/>
    <w:basedOn w:val="1"/>
    <w:next w:val="1"/>
    <w:link w:val="99"/>
    <w:semiHidden/>
    <w:qFormat/>
    <w:uiPriority w:val="0"/>
    <w:pPr>
      <w:adjustRightInd/>
      <w:snapToGrid w:val="0"/>
      <w:spacing w:line="300" w:lineRule="exact"/>
      <w:ind w:left="400" w:leftChars="200" w:hanging="200" w:hangingChars="200"/>
      <w:jc w:val="left"/>
    </w:pPr>
    <w:rPr>
      <w:rFonts w:ascii="宋体"/>
      <w:sz w:val="18"/>
      <w:szCs w:val="18"/>
    </w:rPr>
  </w:style>
  <w:style w:type="paragraph" w:styleId="22">
    <w:name w:val="toc 6"/>
    <w:basedOn w:val="1"/>
    <w:next w:val="1"/>
    <w:autoRedefine/>
    <w:unhideWhenUsed/>
    <w:uiPriority w:val="39"/>
    <w:pPr>
      <w:spacing w:line="300" w:lineRule="exact"/>
      <w:ind w:left="1049"/>
    </w:pPr>
    <w:rPr>
      <w:rFonts w:ascii="宋体"/>
    </w:rPr>
  </w:style>
  <w:style w:type="paragraph" w:styleId="23">
    <w:name w:val="table of figures"/>
    <w:basedOn w:val="1"/>
    <w:next w:val="1"/>
    <w:semiHidden/>
    <w:qFormat/>
    <w:uiPriority w:val="0"/>
    <w:pPr>
      <w:adjustRightInd/>
      <w:spacing w:line="240" w:lineRule="auto"/>
      <w:jc w:val="left"/>
    </w:pPr>
    <w:rPr>
      <w:szCs w:val="24"/>
    </w:rPr>
  </w:style>
  <w:style w:type="paragraph" w:styleId="24">
    <w:name w:val="toc 2"/>
    <w:basedOn w:val="1"/>
    <w:next w:val="1"/>
    <w:autoRedefine/>
    <w:unhideWhenUsed/>
    <w:uiPriority w:val="39"/>
    <w:pPr>
      <w:tabs>
        <w:tab w:val="right" w:leader="dot" w:pos="9344"/>
      </w:tabs>
      <w:spacing w:line="300" w:lineRule="exact"/>
      <w:ind w:left="210"/>
    </w:pPr>
    <w:rPr>
      <w:rFonts w:ascii="宋体"/>
    </w:rPr>
  </w:style>
  <w:style w:type="paragraph" w:styleId="25">
    <w:name w:val="Title"/>
    <w:basedOn w:val="1"/>
    <w:link w:val="48"/>
    <w:qFormat/>
    <w:uiPriority w:val="0"/>
    <w:pPr>
      <w:spacing w:before="240" w:after="60"/>
      <w:jc w:val="center"/>
      <w:outlineLvl w:val="0"/>
    </w:pPr>
    <w:rPr>
      <w:rFonts w:ascii="Arial" w:hAnsi="Arial" w:cs="Arial"/>
      <w:b/>
      <w:bCs/>
      <w:sz w:val="32"/>
      <w:szCs w:val="32"/>
    </w:rPr>
  </w:style>
  <w:style w:type="table" w:styleId="27">
    <w:name w:val="Table Grid"/>
    <w:basedOn w:val="2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9">
    <w:name w:val="Strong"/>
    <w:qFormat/>
    <w:uiPriority w:val="22"/>
    <w:rPr>
      <w:b/>
      <w:bCs/>
    </w:rPr>
  </w:style>
  <w:style w:type="character" w:styleId="30">
    <w:name w:val="page number"/>
    <w:qFormat/>
    <w:uiPriority w:val="0"/>
    <w:rPr>
      <w:rFonts w:ascii="宋体" w:hAnsi="Times New Roman" w:eastAsia="宋体"/>
      <w:sz w:val="18"/>
    </w:rPr>
  </w:style>
  <w:style w:type="character" w:styleId="31">
    <w:name w:val="Emphasis"/>
    <w:qFormat/>
    <w:uiPriority w:val="20"/>
    <w:rPr>
      <w:i/>
      <w:iCs/>
    </w:rPr>
  </w:style>
  <w:style w:type="character" w:styleId="32">
    <w:name w:val="Hyperlink"/>
    <w:qFormat/>
    <w:uiPriority w:val="99"/>
    <w:rPr>
      <w:rFonts w:ascii="宋体" w:hAnsi="Times New Roman" w:eastAsia="宋体"/>
      <w:color w:val="auto"/>
      <w:spacing w:val="0"/>
      <w:w w:val="100"/>
      <w:position w:val="0"/>
      <w:sz w:val="21"/>
      <w:u w:val="none"/>
      <w:vertAlign w:val="baseline"/>
    </w:rPr>
  </w:style>
  <w:style w:type="character" w:styleId="33">
    <w:name w:val="footnote reference"/>
    <w:semiHidden/>
    <w:qFormat/>
    <w:uiPriority w:val="0"/>
    <w:rPr>
      <w:rFonts w:ascii="宋体" w:hAnsi="宋体" w:eastAsia="宋体" w:cs="Times New Roman"/>
      <w:spacing w:val="0"/>
      <w:sz w:val="18"/>
      <w:vertAlign w:val="superscript"/>
    </w:rPr>
  </w:style>
  <w:style w:type="character" w:customStyle="1" w:styleId="34">
    <w:name w:val="标题 1 字符"/>
    <w:link w:val="2"/>
    <w:uiPriority w:val="0"/>
    <w:rPr>
      <w:b/>
      <w:bCs/>
      <w:kern w:val="44"/>
      <w:sz w:val="44"/>
      <w:szCs w:val="44"/>
    </w:rPr>
  </w:style>
  <w:style w:type="character" w:customStyle="1" w:styleId="35">
    <w:name w:val="标题 2 字符"/>
    <w:link w:val="3"/>
    <w:qFormat/>
    <w:uiPriority w:val="0"/>
    <w:rPr>
      <w:rFonts w:ascii="Arial" w:hAnsi="Arial" w:eastAsia="黑体"/>
      <w:b/>
      <w:bCs/>
      <w:kern w:val="2"/>
      <w:sz w:val="32"/>
      <w:szCs w:val="32"/>
    </w:rPr>
  </w:style>
  <w:style w:type="character" w:customStyle="1" w:styleId="36">
    <w:name w:val="标题 3 字符"/>
    <w:link w:val="4"/>
    <w:qFormat/>
    <w:uiPriority w:val="0"/>
    <w:rPr>
      <w:b/>
      <w:bCs/>
      <w:kern w:val="2"/>
      <w:sz w:val="32"/>
      <w:szCs w:val="32"/>
    </w:rPr>
  </w:style>
  <w:style w:type="character" w:customStyle="1" w:styleId="37">
    <w:name w:val="标题 4 字符"/>
    <w:link w:val="5"/>
    <w:qFormat/>
    <w:uiPriority w:val="0"/>
    <w:rPr>
      <w:rFonts w:ascii="Arial" w:hAnsi="Arial" w:eastAsia="黑体"/>
      <w:b/>
      <w:bCs/>
      <w:kern w:val="2"/>
      <w:sz w:val="28"/>
      <w:szCs w:val="28"/>
    </w:rPr>
  </w:style>
  <w:style w:type="character" w:customStyle="1" w:styleId="38">
    <w:name w:val="标题 5 字符"/>
    <w:link w:val="6"/>
    <w:qFormat/>
    <w:uiPriority w:val="0"/>
    <w:rPr>
      <w:b/>
      <w:bCs/>
      <w:kern w:val="2"/>
      <w:sz w:val="28"/>
      <w:szCs w:val="28"/>
    </w:rPr>
  </w:style>
  <w:style w:type="character" w:customStyle="1" w:styleId="39">
    <w:name w:val="标题 6 字符"/>
    <w:link w:val="7"/>
    <w:autoRedefine/>
    <w:qFormat/>
    <w:uiPriority w:val="0"/>
    <w:rPr>
      <w:rFonts w:ascii="Arial" w:hAnsi="Arial" w:eastAsia="黑体"/>
      <w:b/>
      <w:bCs/>
      <w:kern w:val="2"/>
      <w:sz w:val="24"/>
      <w:szCs w:val="24"/>
    </w:rPr>
  </w:style>
  <w:style w:type="character" w:customStyle="1" w:styleId="40">
    <w:name w:val="标题 7 字符"/>
    <w:link w:val="8"/>
    <w:uiPriority w:val="0"/>
    <w:rPr>
      <w:b/>
      <w:bCs/>
      <w:kern w:val="2"/>
      <w:sz w:val="24"/>
      <w:szCs w:val="24"/>
    </w:rPr>
  </w:style>
  <w:style w:type="character" w:customStyle="1" w:styleId="41">
    <w:name w:val="标题 8 字符"/>
    <w:link w:val="9"/>
    <w:qFormat/>
    <w:uiPriority w:val="0"/>
    <w:rPr>
      <w:rFonts w:ascii="Arial" w:hAnsi="Arial" w:eastAsia="黑体"/>
      <w:kern w:val="2"/>
      <w:sz w:val="24"/>
      <w:szCs w:val="24"/>
    </w:rPr>
  </w:style>
  <w:style w:type="character" w:customStyle="1" w:styleId="42">
    <w:name w:val="标题 9 字符"/>
    <w:link w:val="10"/>
    <w:qFormat/>
    <w:uiPriority w:val="0"/>
    <w:rPr>
      <w:rFonts w:ascii="Arial" w:hAnsi="Arial" w:eastAsia="黑体"/>
      <w:kern w:val="2"/>
      <w:sz w:val="21"/>
      <w:szCs w:val="21"/>
    </w:rPr>
  </w:style>
  <w:style w:type="character" w:customStyle="1" w:styleId="43">
    <w:name w:val="页眉 字符"/>
    <w:link w:val="18"/>
    <w:qFormat/>
    <w:uiPriority w:val="99"/>
    <w:rPr>
      <w:kern w:val="2"/>
      <w:sz w:val="18"/>
      <w:szCs w:val="18"/>
    </w:rPr>
  </w:style>
  <w:style w:type="character" w:customStyle="1" w:styleId="44">
    <w:name w:val="页脚 字符"/>
    <w:link w:val="17"/>
    <w:qFormat/>
    <w:uiPriority w:val="99"/>
    <w:rPr>
      <w:rFonts w:ascii="宋体"/>
      <w:kern w:val="2"/>
      <w:sz w:val="18"/>
      <w:szCs w:val="18"/>
    </w:rPr>
  </w:style>
  <w:style w:type="character" w:customStyle="1" w:styleId="45">
    <w:name w:val="批注框文本 字符"/>
    <w:link w:val="16"/>
    <w:semiHidden/>
    <w:qFormat/>
    <w:uiPriority w:val="99"/>
    <w:rPr>
      <w:kern w:val="2"/>
      <w:sz w:val="18"/>
      <w:szCs w:val="18"/>
    </w:rPr>
  </w:style>
  <w:style w:type="paragraph" w:styleId="46">
    <w:name w:val="Quote"/>
    <w:basedOn w:val="1"/>
    <w:next w:val="1"/>
    <w:link w:val="47"/>
    <w:qFormat/>
    <w:uiPriority w:val="29"/>
    <w:rPr>
      <w:i/>
      <w:iCs/>
      <w:color w:val="000000"/>
    </w:rPr>
  </w:style>
  <w:style w:type="character" w:customStyle="1" w:styleId="47">
    <w:name w:val="引用 字符"/>
    <w:link w:val="46"/>
    <w:qFormat/>
    <w:uiPriority w:val="29"/>
    <w:rPr>
      <w:i/>
      <w:iCs/>
      <w:color w:val="000000"/>
      <w:kern w:val="2"/>
      <w:sz w:val="21"/>
      <w:szCs w:val="21"/>
    </w:rPr>
  </w:style>
  <w:style w:type="character" w:customStyle="1" w:styleId="48">
    <w:name w:val="标题 字符"/>
    <w:link w:val="25"/>
    <w:uiPriority w:val="0"/>
    <w:rPr>
      <w:rFonts w:ascii="Arial" w:hAnsi="Arial" w:cs="Arial"/>
      <w:b/>
      <w:bCs/>
      <w:kern w:val="2"/>
      <w:sz w:val="32"/>
      <w:szCs w:val="32"/>
    </w:rPr>
  </w:style>
  <w:style w:type="paragraph" w:customStyle="1" w:styleId="49">
    <w:name w:val="标准标志"/>
    <w:next w:val="1"/>
    <w:qFormat/>
    <w:uiPriority w:val="0"/>
    <w:pPr>
      <w:framePr w:w="2268" w:h="1392" w:hRule="exact" w:wrap="around" w:vAnchor="margin" w:hAnchor="margin" w:x="6748" w:y="171" w:anchorLock="1"/>
      <w:shd w:val="solid" w:color="FFFFFF" w:fill="FFFFFF"/>
      <w:spacing w:line="0" w:lineRule="atLeast"/>
      <w:jc w:val="right"/>
    </w:pPr>
    <w:rPr>
      <w:rFonts w:ascii="Times New Roman" w:hAnsi="Times New Roman" w:eastAsia="宋体" w:cs="Times New Roman"/>
      <w:b/>
      <w:w w:val="130"/>
      <w:sz w:val="96"/>
      <w:lang w:val="en-US" w:eastAsia="zh-CN" w:bidi="ar-SA"/>
    </w:rPr>
  </w:style>
  <w:style w:type="paragraph" w:customStyle="1" w:styleId="50">
    <w:name w:val="标准称谓"/>
    <w:next w:val="1"/>
    <w:qFormat/>
    <w:uiPriority w:val="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eastAsia="宋体" w:cs="Times New Roman"/>
      <w:b/>
      <w:bCs/>
      <w:w w:val="148"/>
      <w:sz w:val="52"/>
      <w:lang w:val="en-US" w:eastAsia="zh-CN" w:bidi="ar-SA"/>
    </w:rPr>
  </w:style>
  <w:style w:type="paragraph" w:customStyle="1" w:styleId="51">
    <w:name w:val="标准文件_页脚偶数页"/>
    <w:qFormat/>
    <w:uiPriority w:val="0"/>
    <w:pPr>
      <w:ind w:left="198"/>
    </w:pPr>
    <w:rPr>
      <w:rFonts w:ascii="宋体" w:hAnsi="Times New Roman" w:eastAsia="宋体" w:cs="Times New Roman"/>
      <w:sz w:val="18"/>
      <w:lang w:val="en-US" w:eastAsia="zh-CN" w:bidi="ar-SA"/>
    </w:rPr>
  </w:style>
  <w:style w:type="paragraph" w:customStyle="1" w:styleId="52">
    <w:name w:val="标准文件_页脚奇数页"/>
    <w:qFormat/>
    <w:uiPriority w:val="0"/>
    <w:pPr>
      <w:ind w:right="227"/>
      <w:jc w:val="right"/>
    </w:pPr>
    <w:rPr>
      <w:rFonts w:ascii="宋体" w:hAnsi="Times New Roman" w:eastAsia="宋体" w:cs="Times New Roman"/>
      <w:sz w:val="18"/>
      <w:lang w:val="en-US" w:eastAsia="zh-CN" w:bidi="ar-SA"/>
    </w:rPr>
  </w:style>
  <w:style w:type="paragraph" w:customStyle="1" w:styleId="53">
    <w:name w:val="标准书眉一"/>
    <w:qFormat/>
    <w:uiPriority w:val="0"/>
    <w:pPr>
      <w:jc w:val="both"/>
    </w:pPr>
    <w:rPr>
      <w:rFonts w:ascii="Times New Roman" w:hAnsi="Times New Roman" w:eastAsia="宋体" w:cs="Times New Roman"/>
      <w:lang w:val="en-US" w:eastAsia="zh-CN" w:bidi="ar-SA"/>
    </w:rPr>
  </w:style>
  <w:style w:type="paragraph" w:customStyle="1" w:styleId="54">
    <w:name w:val="标准文件_ICS"/>
    <w:basedOn w:val="1"/>
    <w:qFormat/>
    <w:uiPriority w:val="0"/>
    <w:pPr>
      <w:spacing w:line="0" w:lineRule="atLeast"/>
    </w:pPr>
    <w:rPr>
      <w:rFonts w:ascii="黑体" w:hAnsi="宋体" w:eastAsia="黑体"/>
    </w:rPr>
  </w:style>
  <w:style w:type="paragraph" w:customStyle="1" w:styleId="55">
    <w:name w:val="标准文件_标准正文"/>
    <w:basedOn w:val="1"/>
    <w:next w:val="56"/>
    <w:uiPriority w:val="0"/>
    <w:pPr>
      <w:snapToGrid w:val="0"/>
      <w:ind w:firstLine="200" w:firstLineChars="200"/>
    </w:pPr>
    <w:rPr>
      <w:kern w:val="0"/>
    </w:rPr>
  </w:style>
  <w:style w:type="paragraph" w:customStyle="1" w:styleId="56">
    <w:name w:val="标准文件_段"/>
    <w:link w:val="184"/>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57">
    <w:name w:val="标准文件_版本"/>
    <w:basedOn w:val="55"/>
    <w:uiPriority w:val="0"/>
    <w:pPr>
      <w:adjustRightInd/>
      <w:snapToGrid/>
      <w:ind w:firstLine="0" w:firstLineChars="0"/>
    </w:pPr>
    <w:rPr>
      <w:rFonts w:ascii="宋体" w:hAnsi="宋体"/>
      <w:kern w:val="2"/>
    </w:rPr>
  </w:style>
  <w:style w:type="paragraph" w:customStyle="1" w:styleId="58">
    <w:name w:val="标准文件_标准部门"/>
    <w:basedOn w:val="1"/>
    <w:qFormat/>
    <w:uiPriority w:val="0"/>
    <w:pPr>
      <w:jc w:val="center"/>
    </w:pPr>
    <w:rPr>
      <w:rFonts w:ascii="黑体" w:eastAsia="黑体"/>
      <w:kern w:val="0"/>
      <w:sz w:val="44"/>
    </w:rPr>
  </w:style>
  <w:style w:type="paragraph" w:customStyle="1" w:styleId="59">
    <w:name w:val="标准文件_标准代替"/>
    <w:basedOn w:val="1"/>
    <w:next w:val="1"/>
    <w:uiPriority w:val="0"/>
    <w:pPr>
      <w:spacing w:line="310" w:lineRule="exact"/>
      <w:jc w:val="right"/>
    </w:pPr>
    <w:rPr>
      <w:rFonts w:ascii="宋体" w:hAnsi="宋体"/>
      <w:kern w:val="0"/>
    </w:rPr>
  </w:style>
  <w:style w:type="paragraph" w:customStyle="1" w:styleId="60">
    <w:name w:val="标准文件_标准名称标题"/>
    <w:basedOn w:val="1"/>
    <w:next w:val="1"/>
    <w:qFormat/>
    <w:uiPriority w:val="0"/>
    <w:pPr>
      <w:widowControl/>
      <w:shd w:val="clear" w:color="FFFFFF" w:fill="FFFFFF"/>
      <w:adjustRightInd/>
      <w:spacing w:before="640" w:after="100"/>
      <w:jc w:val="center"/>
    </w:pPr>
    <w:rPr>
      <w:rFonts w:ascii="黑体" w:eastAsia="黑体"/>
      <w:kern w:val="0"/>
      <w:sz w:val="32"/>
    </w:rPr>
  </w:style>
  <w:style w:type="paragraph" w:customStyle="1" w:styleId="61">
    <w:name w:val="标准文件_页眉奇数页"/>
    <w:next w:val="1"/>
    <w:uiPriority w:val="0"/>
    <w:pPr>
      <w:tabs>
        <w:tab w:val="center" w:pos="4154"/>
        <w:tab w:val="right" w:pos="8306"/>
      </w:tabs>
      <w:spacing w:after="120"/>
      <w:jc w:val="right"/>
    </w:pPr>
    <w:rPr>
      <w:rFonts w:ascii="黑体" w:hAnsi="宋体" w:eastAsia="黑体" w:cs="Times New Roman"/>
      <w:sz w:val="21"/>
      <w:lang w:val="en-US" w:eastAsia="zh-CN" w:bidi="ar-SA"/>
    </w:rPr>
  </w:style>
  <w:style w:type="paragraph" w:customStyle="1" w:styleId="62">
    <w:name w:val="标准文件_页眉偶数页"/>
    <w:basedOn w:val="61"/>
    <w:next w:val="1"/>
    <w:qFormat/>
    <w:uiPriority w:val="0"/>
    <w:pPr>
      <w:jc w:val="left"/>
    </w:pPr>
  </w:style>
  <w:style w:type="paragraph" w:customStyle="1" w:styleId="63">
    <w:name w:val="标准文件_参考文献标题"/>
    <w:basedOn w:val="1"/>
    <w:next w:val="1"/>
    <w:qFormat/>
    <w:uiPriority w:val="0"/>
    <w:pPr>
      <w:widowControl/>
      <w:shd w:val="clear" w:color="FFFFFF" w:fill="FFFFFF"/>
      <w:adjustRightInd/>
      <w:spacing w:before="580" w:after="50" w:afterLines="50" w:line="240" w:lineRule="auto"/>
      <w:jc w:val="center"/>
      <w:outlineLvl w:val="0"/>
    </w:pPr>
    <w:rPr>
      <w:rFonts w:ascii="黑体" w:eastAsia="黑体"/>
      <w:kern w:val="0"/>
    </w:rPr>
  </w:style>
  <w:style w:type="paragraph" w:customStyle="1" w:styleId="64">
    <w:name w:val="标准文件_参考文献条目"/>
    <w:uiPriority w:val="0"/>
    <w:pPr>
      <w:numPr>
        <w:ilvl w:val="0"/>
        <w:numId w:val="1"/>
      </w:numPr>
    </w:pPr>
    <w:rPr>
      <w:rFonts w:ascii="宋体" w:hAnsi="Times New Roman" w:eastAsia="宋体" w:cs="Times New Roman"/>
      <w:lang w:val="en-US" w:eastAsia="zh-CN" w:bidi="ar-SA"/>
    </w:rPr>
  </w:style>
  <w:style w:type="paragraph" w:customStyle="1" w:styleId="65">
    <w:name w:val="标准文件_二级条标题"/>
    <w:next w:val="56"/>
    <w:qFormat/>
    <w:uiPriority w:val="0"/>
    <w:pPr>
      <w:widowControl w:val="0"/>
      <w:numPr>
        <w:ilvl w:val="3"/>
        <w:numId w:val="2"/>
      </w:numPr>
      <w:spacing w:before="50" w:beforeLines="50" w:after="50" w:afterLines="50"/>
      <w:jc w:val="both"/>
      <w:outlineLvl w:val="2"/>
    </w:pPr>
    <w:rPr>
      <w:rFonts w:ascii="黑体" w:hAnsi="Times New Roman" w:eastAsia="黑体" w:cs="Times New Roman"/>
      <w:sz w:val="21"/>
      <w:lang w:val="en-US" w:eastAsia="zh-CN" w:bidi="ar-SA"/>
    </w:rPr>
  </w:style>
  <w:style w:type="character" w:customStyle="1" w:styleId="66">
    <w:name w:val="标准文件_发布"/>
    <w:qFormat/>
    <w:uiPriority w:val="0"/>
    <w:rPr>
      <w:rFonts w:ascii="黑体" w:eastAsia="黑体"/>
      <w:spacing w:val="0"/>
      <w:w w:val="100"/>
      <w:position w:val="3"/>
      <w:sz w:val="28"/>
    </w:rPr>
  </w:style>
  <w:style w:type="paragraph" w:customStyle="1" w:styleId="67">
    <w:name w:val="标准文件_方框数字列项"/>
    <w:basedOn w:val="56"/>
    <w:qFormat/>
    <w:uiPriority w:val="0"/>
    <w:pPr>
      <w:numPr>
        <w:ilvl w:val="0"/>
        <w:numId w:val="3"/>
      </w:numPr>
      <w:ind w:firstLine="0" w:firstLineChars="0"/>
    </w:pPr>
  </w:style>
  <w:style w:type="paragraph" w:customStyle="1" w:styleId="68">
    <w:name w:val="标准文件_封面标准编号"/>
    <w:basedOn w:val="1"/>
    <w:next w:val="59"/>
    <w:uiPriority w:val="0"/>
    <w:pPr>
      <w:spacing w:line="310" w:lineRule="exact"/>
      <w:jc w:val="right"/>
    </w:pPr>
    <w:rPr>
      <w:rFonts w:ascii="黑体" w:eastAsia="黑体"/>
      <w:kern w:val="0"/>
      <w:sz w:val="28"/>
    </w:rPr>
  </w:style>
  <w:style w:type="paragraph" w:customStyle="1" w:styleId="69">
    <w:name w:val="标准文件_封面标准分类号"/>
    <w:basedOn w:val="1"/>
    <w:qFormat/>
    <w:uiPriority w:val="0"/>
    <w:rPr>
      <w:rFonts w:ascii="黑体" w:eastAsia="黑体"/>
      <w:b/>
      <w:kern w:val="0"/>
      <w:sz w:val="28"/>
    </w:rPr>
  </w:style>
  <w:style w:type="paragraph" w:customStyle="1" w:styleId="70">
    <w:name w:val="标准文件_封面标准名称"/>
    <w:basedOn w:val="1"/>
    <w:qFormat/>
    <w:uiPriority w:val="0"/>
    <w:pPr>
      <w:spacing w:line="240" w:lineRule="auto"/>
      <w:jc w:val="center"/>
    </w:pPr>
    <w:rPr>
      <w:rFonts w:ascii="黑体" w:eastAsia="黑体"/>
      <w:kern w:val="0"/>
      <w:sz w:val="52"/>
    </w:rPr>
  </w:style>
  <w:style w:type="paragraph" w:customStyle="1" w:styleId="71">
    <w:name w:val="标准文件_封面标准英文名称"/>
    <w:basedOn w:val="1"/>
    <w:qFormat/>
    <w:uiPriority w:val="0"/>
    <w:pPr>
      <w:spacing w:line="240" w:lineRule="auto"/>
      <w:jc w:val="center"/>
    </w:pPr>
    <w:rPr>
      <w:rFonts w:ascii="黑体" w:eastAsia="黑体"/>
      <w:b/>
      <w:sz w:val="28"/>
    </w:rPr>
  </w:style>
  <w:style w:type="paragraph" w:customStyle="1" w:styleId="72">
    <w:name w:val="标准文件_封面发布日期"/>
    <w:basedOn w:val="1"/>
    <w:uiPriority w:val="0"/>
    <w:pPr>
      <w:spacing w:line="310" w:lineRule="exact"/>
    </w:pPr>
    <w:rPr>
      <w:rFonts w:ascii="黑体" w:eastAsia="黑体"/>
      <w:kern w:val="0"/>
      <w:sz w:val="28"/>
    </w:rPr>
  </w:style>
  <w:style w:type="paragraph" w:customStyle="1" w:styleId="73">
    <w:name w:val="标准文件_封面密级"/>
    <w:basedOn w:val="1"/>
    <w:qFormat/>
    <w:uiPriority w:val="0"/>
    <w:rPr>
      <w:rFonts w:eastAsia="黑体"/>
      <w:sz w:val="32"/>
    </w:rPr>
  </w:style>
  <w:style w:type="paragraph" w:customStyle="1" w:styleId="74">
    <w:name w:val="标准文件_封面实施日期"/>
    <w:basedOn w:val="1"/>
    <w:uiPriority w:val="0"/>
    <w:pPr>
      <w:spacing w:line="310" w:lineRule="exact"/>
      <w:jc w:val="right"/>
    </w:pPr>
    <w:rPr>
      <w:rFonts w:ascii="黑体" w:eastAsia="黑体"/>
      <w:sz w:val="28"/>
    </w:rPr>
  </w:style>
  <w:style w:type="paragraph" w:customStyle="1" w:styleId="75">
    <w:name w:val="标准文件_封面抬头"/>
    <w:basedOn w:val="56"/>
    <w:qFormat/>
    <w:uiPriority w:val="0"/>
    <w:pPr>
      <w:adjustRightInd w:val="0"/>
      <w:spacing w:line="800" w:lineRule="exact"/>
      <w:ind w:firstLine="0" w:firstLineChars="0"/>
      <w:jc w:val="distribute"/>
    </w:pPr>
    <w:rPr>
      <w:rFonts w:ascii="黑体" w:eastAsia="黑体"/>
      <w:b/>
      <w:sz w:val="64"/>
    </w:rPr>
  </w:style>
  <w:style w:type="paragraph" w:customStyle="1" w:styleId="76">
    <w:name w:val="标准文件_附录标识"/>
    <w:next w:val="56"/>
    <w:qFormat/>
    <w:uiPriority w:val="0"/>
    <w:pPr>
      <w:numPr>
        <w:ilvl w:val="0"/>
        <w:numId w:val="4"/>
      </w:numPr>
      <w:shd w:val="clear" w:color="FFFFFF" w:fill="FFFFFF"/>
      <w:tabs>
        <w:tab w:val="left" w:pos="6406"/>
      </w:tabs>
      <w:spacing w:before="560" w:after="50" w:afterLines="50"/>
      <w:jc w:val="center"/>
      <w:outlineLvl w:val="0"/>
    </w:pPr>
    <w:rPr>
      <w:rFonts w:ascii="黑体" w:hAnsi="Times New Roman" w:eastAsia="黑体" w:cs="Times New Roman"/>
      <w:sz w:val="21"/>
      <w:lang w:val="en-US" w:eastAsia="zh-CN" w:bidi="ar-SA"/>
    </w:rPr>
  </w:style>
  <w:style w:type="paragraph" w:customStyle="1" w:styleId="77">
    <w:name w:val="标准文件_附录表标题"/>
    <w:next w:val="56"/>
    <w:qFormat/>
    <w:uiPriority w:val="0"/>
    <w:pPr>
      <w:numPr>
        <w:ilvl w:val="1"/>
        <w:numId w:val="5"/>
      </w:numPr>
      <w:adjustRightInd w:val="0"/>
      <w:snapToGrid w:val="0"/>
      <w:spacing w:before="50" w:beforeLines="50" w:after="50" w:afterLines="50"/>
      <w:jc w:val="center"/>
      <w:textAlignment w:val="baseline"/>
    </w:pPr>
    <w:rPr>
      <w:rFonts w:ascii="黑体" w:hAnsi="Times New Roman" w:eastAsia="黑体" w:cs="Times New Roman"/>
      <w:kern w:val="21"/>
      <w:sz w:val="21"/>
      <w:lang w:val="en-US" w:eastAsia="zh-CN" w:bidi="ar-SA"/>
    </w:rPr>
  </w:style>
  <w:style w:type="paragraph" w:customStyle="1" w:styleId="78">
    <w:name w:val="标准文件_附录一级条标题"/>
    <w:next w:val="56"/>
    <w:qFormat/>
    <w:uiPriority w:val="0"/>
    <w:pPr>
      <w:widowControl w:val="0"/>
      <w:numPr>
        <w:ilvl w:val="1"/>
        <w:numId w:val="4"/>
      </w:numPr>
      <w:spacing w:before="50" w:beforeLines="50" w:after="50" w:afterLines="50"/>
      <w:jc w:val="both"/>
      <w:outlineLvl w:val="2"/>
    </w:pPr>
    <w:rPr>
      <w:rFonts w:ascii="黑体" w:hAnsi="Times New Roman" w:eastAsia="黑体" w:cs="Times New Roman"/>
      <w:kern w:val="21"/>
      <w:sz w:val="21"/>
      <w:lang w:val="en-US" w:eastAsia="zh-CN" w:bidi="ar-SA"/>
    </w:rPr>
  </w:style>
  <w:style w:type="paragraph" w:customStyle="1" w:styleId="79">
    <w:name w:val="标准文件_附录二级条标题"/>
    <w:basedOn w:val="78"/>
    <w:next w:val="56"/>
    <w:qFormat/>
    <w:uiPriority w:val="0"/>
    <w:pPr>
      <w:widowControl/>
      <w:numPr>
        <w:ilvl w:val="2"/>
      </w:numPr>
      <w:wordWrap w:val="0"/>
      <w:overflowPunct w:val="0"/>
      <w:autoSpaceDE w:val="0"/>
      <w:autoSpaceDN w:val="0"/>
      <w:textAlignment w:val="baseline"/>
      <w:outlineLvl w:val="3"/>
    </w:pPr>
  </w:style>
  <w:style w:type="paragraph" w:customStyle="1" w:styleId="80">
    <w:name w:val="标准文件_附录公式"/>
    <w:basedOn w:val="55"/>
    <w:next w:val="55"/>
    <w:uiPriority w:val="0"/>
    <w:pPr>
      <w:tabs>
        <w:tab w:val="center" w:pos="4678"/>
        <w:tab w:val="right" w:leader="middleDot" w:pos="9356"/>
      </w:tabs>
      <w:spacing w:line="240" w:lineRule="auto"/>
      <w:ind w:right="-51" w:firstLine="0" w:firstLineChars="0"/>
    </w:pPr>
    <w:rPr>
      <w:rFonts w:ascii="宋体" w:hAnsi="宋体"/>
    </w:rPr>
  </w:style>
  <w:style w:type="paragraph" w:customStyle="1" w:styleId="81">
    <w:name w:val="标准文件_附录三级条标题"/>
    <w:next w:val="56"/>
    <w:qFormat/>
    <w:uiPriority w:val="0"/>
    <w:pPr>
      <w:widowControl w:val="0"/>
      <w:numPr>
        <w:ilvl w:val="3"/>
        <w:numId w:val="4"/>
      </w:numPr>
      <w:spacing w:before="50" w:beforeLines="50" w:after="50" w:afterLines="50"/>
      <w:jc w:val="both"/>
      <w:outlineLvl w:val="4"/>
    </w:pPr>
    <w:rPr>
      <w:rFonts w:ascii="黑体" w:hAnsi="Times New Roman" w:eastAsia="黑体" w:cs="Times New Roman"/>
      <w:kern w:val="21"/>
      <w:sz w:val="21"/>
      <w:lang w:val="en-US" w:eastAsia="zh-CN" w:bidi="ar-SA"/>
    </w:rPr>
  </w:style>
  <w:style w:type="paragraph" w:customStyle="1" w:styleId="82">
    <w:name w:val="标准文件_附录四级条标题"/>
    <w:next w:val="56"/>
    <w:uiPriority w:val="0"/>
    <w:pPr>
      <w:widowControl w:val="0"/>
      <w:numPr>
        <w:ilvl w:val="4"/>
        <w:numId w:val="4"/>
      </w:numPr>
      <w:spacing w:before="50" w:beforeLines="50" w:after="50" w:afterLines="50"/>
      <w:jc w:val="both"/>
      <w:outlineLvl w:val="5"/>
    </w:pPr>
    <w:rPr>
      <w:rFonts w:ascii="黑体" w:hAnsi="Times New Roman" w:eastAsia="黑体" w:cs="Times New Roman"/>
      <w:kern w:val="21"/>
      <w:sz w:val="21"/>
      <w:lang w:val="en-US" w:eastAsia="zh-CN" w:bidi="ar-SA"/>
    </w:rPr>
  </w:style>
  <w:style w:type="paragraph" w:customStyle="1" w:styleId="83">
    <w:name w:val="标准文件_附录图标题"/>
    <w:next w:val="56"/>
    <w:qFormat/>
    <w:uiPriority w:val="0"/>
    <w:pPr>
      <w:numPr>
        <w:ilvl w:val="1"/>
        <w:numId w:val="6"/>
      </w:numPr>
      <w:adjustRightInd w:val="0"/>
      <w:snapToGrid w:val="0"/>
      <w:spacing w:before="50" w:beforeLines="50" w:after="50" w:afterLines="50"/>
      <w:jc w:val="center"/>
    </w:pPr>
    <w:rPr>
      <w:rFonts w:ascii="黑体" w:hAnsi="Times New Roman" w:eastAsia="黑体" w:cs="Times New Roman"/>
      <w:sz w:val="21"/>
      <w:lang w:val="en-US" w:eastAsia="zh-CN" w:bidi="ar-SA"/>
    </w:rPr>
  </w:style>
  <w:style w:type="paragraph" w:customStyle="1" w:styleId="84">
    <w:name w:val="标准文件_附录五级条标题"/>
    <w:next w:val="56"/>
    <w:uiPriority w:val="0"/>
    <w:pPr>
      <w:widowControl w:val="0"/>
      <w:numPr>
        <w:ilvl w:val="5"/>
        <w:numId w:val="4"/>
      </w:numPr>
      <w:spacing w:before="50" w:beforeLines="50" w:after="50" w:afterLines="50"/>
      <w:jc w:val="both"/>
      <w:outlineLvl w:val="6"/>
    </w:pPr>
    <w:rPr>
      <w:rFonts w:ascii="黑体" w:hAnsi="Times New Roman" w:eastAsia="黑体" w:cs="Times New Roman"/>
      <w:kern w:val="21"/>
      <w:sz w:val="21"/>
      <w:lang w:val="en-US" w:eastAsia="zh-CN" w:bidi="ar-SA"/>
    </w:rPr>
  </w:style>
  <w:style w:type="paragraph" w:customStyle="1" w:styleId="85">
    <w:name w:val="标准文件_附录英文标识"/>
    <w:next w:val="13"/>
    <w:qFormat/>
    <w:uiPriority w:val="0"/>
    <w:pPr>
      <w:numPr>
        <w:ilvl w:val="0"/>
        <w:numId w:val="7"/>
      </w:numPr>
      <w:tabs>
        <w:tab w:val="left" w:pos="6406"/>
      </w:tabs>
      <w:spacing w:before="220" w:after="320"/>
      <w:jc w:val="center"/>
      <w:outlineLvl w:val="0"/>
    </w:pPr>
    <w:rPr>
      <w:rFonts w:ascii="黑体" w:hAnsi="Times New Roman" w:eastAsia="黑体" w:cs="Times New Roman"/>
      <w:sz w:val="21"/>
      <w:lang w:val="en-US" w:eastAsia="zh-CN" w:bidi="ar-SA"/>
    </w:rPr>
  </w:style>
  <w:style w:type="character" w:customStyle="1" w:styleId="86">
    <w:name w:val="正文文本 字符"/>
    <w:link w:val="13"/>
    <w:uiPriority w:val="0"/>
    <w:rPr>
      <w:kern w:val="2"/>
      <w:sz w:val="21"/>
      <w:szCs w:val="21"/>
    </w:rPr>
  </w:style>
  <w:style w:type="paragraph" w:customStyle="1" w:styleId="87">
    <w:name w:val="标准文件_附录章标题"/>
    <w:next w:val="56"/>
    <w:qFormat/>
    <w:uiPriority w:val="0"/>
    <w:pPr>
      <w:wordWrap w:val="0"/>
      <w:overflowPunct w:val="0"/>
      <w:autoSpaceDE w:val="0"/>
      <w:spacing w:beforeLines="50" w:afterLines="50"/>
      <w:jc w:val="both"/>
      <w:textAlignment w:val="baseline"/>
      <w:outlineLvl w:val="1"/>
    </w:pPr>
    <w:rPr>
      <w:rFonts w:ascii="黑体" w:hAnsi="Times New Roman" w:eastAsia="黑体" w:cs="Times New Roman"/>
      <w:kern w:val="21"/>
      <w:sz w:val="21"/>
      <w:lang w:val="en-US" w:eastAsia="zh-CN" w:bidi="ar-SA"/>
    </w:rPr>
  </w:style>
  <w:style w:type="paragraph" w:customStyle="1" w:styleId="88">
    <w:name w:val="标准文件_公式后的破折号"/>
    <w:basedOn w:val="56"/>
    <w:next w:val="56"/>
    <w:qFormat/>
    <w:uiPriority w:val="0"/>
    <w:pPr>
      <w:ind w:left="488" w:leftChars="200" w:hanging="289" w:hangingChars="290"/>
    </w:pPr>
  </w:style>
  <w:style w:type="paragraph" w:customStyle="1" w:styleId="89">
    <w:name w:val="标准文件_前言、引言标题"/>
    <w:next w:val="1"/>
    <w:qFormat/>
    <w:uiPriority w:val="0"/>
    <w:pPr>
      <w:numPr>
        <w:ilvl w:val="0"/>
        <w:numId w:val="8"/>
      </w:numPr>
      <w:shd w:val="clear" w:color="FFFFFF" w:fill="FFFFFF"/>
      <w:spacing w:before="480" w:after="150" w:afterLines="150"/>
      <w:jc w:val="center"/>
      <w:outlineLvl w:val="0"/>
    </w:pPr>
    <w:rPr>
      <w:rFonts w:ascii="黑体" w:hAnsi="Times New Roman" w:eastAsia="黑体" w:cs="Times New Roman"/>
      <w:sz w:val="32"/>
      <w:lang w:val="en-US" w:eastAsia="zh-CN" w:bidi="ar-SA"/>
    </w:rPr>
  </w:style>
  <w:style w:type="paragraph" w:customStyle="1" w:styleId="90">
    <w:name w:val="标准文件_目次、标准名称标题"/>
    <w:basedOn w:val="89"/>
    <w:next w:val="56"/>
    <w:qFormat/>
    <w:uiPriority w:val="0"/>
    <w:pPr>
      <w:spacing w:line="460" w:lineRule="exact"/>
      <w:ind w:left="0" w:firstLine="0"/>
    </w:pPr>
  </w:style>
  <w:style w:type="paragraph" w:customStyle="1" w:styleId="91">
    <w:name w:val="标准文件_目录标题"/>
    <w:basedOn w:val="1"/>
    <w:uiPriority w:val="0"/>
    <w:pPr>
      <w:spacing w:before="480" w:after="150" w:afterLines="150" w:line="240" w:lineRule="auto"/>
      <w:jc w:val="center"/>
    </w:pPr>
    <w:rPr>
      <w:rFonts w:ascii="黑体" w:eastAsia="黑体"/>
      <w:sz w:val="32"/>
    </w:rPr>
  </w:style>
  <w:style w:type="paragraph" w:customStyle="1" w:styleId="92">
    <w:name w:val="标准文件_破折号列项"/>
    <w:qFormat/>
    <w:uiPriority w:val="0"/>
    <w:pPr>
      <w:numPr>
        <w:ilvl w:val="0"/>
        <w:numId w:val="9"/>
      </w:numPr>
      <w:adjustRightInd w:val="0"/>
      <w:snapToGrid w:val="0"/>
      <w:ind w:firstLine="200" w:firstLineChars="200"/>
    </w:pPr>
    <w:rPr>
      <w:rFonts w:ascii="Times New Roman" w:hAnsi="Times New Roman" w:eastAsia="宋体" w:cs="Times New Roman"/>
      <w:sz w:val="21"/>
      <w:lang w:val="en-US" w:eastAsia="zh-CN" w:bidi="ar-SA"/>
    </w:rPr>
  </w:style>
  <w:style w:type="paragraph" w:customStyle="1" w:styleId="93">
    <w:name w:val="标准文件_破折号列项（二级）"/>
    <w:basedOn w:val="92"/>
    <w:qFormat/>
    <w:uiPriority w:val="0"/>
    <w:pPr>
      <w:numPr>
        <w:numId w:val="10"/>
      </w:numPr>
    </w:pPr>
  </w:style>
  <w:style w:type="paragraph" w:customStyle="1" w:styleId="94">
    <w:name w:val="标准文件_三级条标题"/>
    <w:basedOn w:val="65"/>
    <w:next w:val="56"/>
    <w:qFormat/>
    <w:uiPriority w:val="0"/>
    <w:pPr>
      <w:widowControl/>
      <w:numPr>
        <w:ilvl w:val="4"/>
      </w:numPr>
      <w:outlineLvl w:val="3"/>
    </w:pPr>
  </w:style>
  <w:style w:type="character" w:customStyle="1" w:styleId="95">
    <w:name w:val="不明显参考1"/>
    <w:qFormat/>
    <w:uiPriority w:val="31"/>
    <w:rPr>
      <w:smallCaps/>
      <w:color w:val="C0504D"/>
      <w:u w:val="single"/>
    </w:rPr>
  </w:style>
  <w:style w:type="paragraph" w:customStyle="1" w:styleId="96">
    <w:name w:val="标准文件_示例后续"/>
    <w:basedOn w:val="1"/>
    <w:uiPriority w:val="0"/>
    <w:pPr>
      <w:adjustRightInd/>
      <w:spacing w:line="240" w:lineRule="auto"/>
      <w:ind w:firstLine="200" w:firstLineChars="200"/>
    </w:pPr>
    <w:rPr>
      <w:sz w:val="18"/>
      <w:szCs w:val="24"/>
    </w:rPr>
  </w:style>
  <w:style w:type="paragraph" w:customStyle="1" w:styleId="97">
    <w:name w:val="标准文件_数字编号列项"/>
    <w:qFormat/>
    <w:uiPriority w:val="0"/>
    <w:pPr>
      <w:numPr>
        <w:ilvl w:val="0"/>
        <w:numId w:val="11"/>
      </w:numPr>
      <w:jc w:val="both"/>
    </w:pPr>
    <w:rPr>
      <w:rFonts w:ascii="宋体" w:hAnsi="宋体" w:eastAsia="宋体" w:cs="Times New Roman"/>
      <w:sz w:val="21"/>
      <w:lang w:val="en-US" w:eastAsia="zh-CN" w:bidi="ar-SA"/>
    </w:rPr>
  </w:style>
  <w:style w:type="paragraph" w:customStyle="1" w:styleId="98">
    <w:name w:val="标准文件_四级条标题"/>
    <w:next w:val="56"/>
    <w:qFormat/>
    <w:uiPriority w:val="0"/>
    <w:pPr>
      <w:widowControl w:val="0"/>
      <w:numPr>
        <w:ilvl w:val="5"/>
        <w:numId w:val="2"/>
      </w:numPr>
      <w:spacing w:before="50" w:beforeLines="50" w:after="50" w:afterLines="50"/>
      <w:jc w:val="both"/>
      <w:outlineLvl w:val="4"/>
    </w:pPr>
    <w:rPr>
      <w:rFonts w:ascii="黑体" w:hAnsi="Times New Roman" w:eastAsia="黑体" w:cs="Times New Roman"/>
      <w:sz w:val="21"/>
      <w:lang w:val="en-US" w:eastAsia="zh-CN" w:bidi="ar-SA"/>
    </w:rPr>
  </w:style>
  <w:style w:type="character" w:customStyle="1" w:styleId="99">
    <w:name w:val="脚注文本 字符"/>
    <w:link w:val="21"/>
    <w:semiHidden/>
    <w:qFormat/>
    <w:uiPriority w:val="0"/>
    <w:rPr>
      <w:rFonts w:ascii="宋体"/>
      <w:kern w:val="2"/>
      <w:sz w:val="18"/>
      <w:szCs w:val="18"/>
    </w:rPr>
  </w:style>
  <w:style w:type="paragraph" w:customStyle="1" w:styleId="100">
    <w:name w:val="标准文件_条文脚注"/>
    <w:basedOn w:val="21"/>
    <w:qFormat/>
    <w:uiPriority w:val="0"/>
    <w:pPr>
      <w:adjustRightInd w:val="0"/>
      <w:spacing w:line="240" w:lineRule="auto"/>
      <w:ind w:left="0" w:leftChars="0" w:firstLine="200" w:firstLineChars="200"/>
      <w:jc w:val="both"/>
    </w:pPr>
    <w:rPr>
      <w:rFonts w:hAnsi="宋体"/>
    </w:rPr>
  </w:style>
  <w:style w:type="paragraph" w:customStyle="1" w:styleId="101">
    <w:name w:val="标准文件_图表脚注"/>
    <w:basedOn w:val="1"/>
    <w:next w:val="56"/>
    <w:qFormat/>
    <w:uiPriority w:val="0"/>
    <w:pPr>
      <w:numPr>
        <w:ilvl w:val="0"/>
        <w:numId w:val="12"/>
      </w:numPr>
      <w:spacing w:line="240" w:lineRule="auto"/>
      <w:jc w:val="left"/>
    </w:pPr>
    <w:rPr>
      <w:rFonts w:ascii="宋体" w:hAnsi="宋体"/>
      <w:sz w:val="18"/>
    </w:rPr>
  </w:style>
  <w:style w:type="character" w:customStyle="1" w:styleId="102">
    <w:name w:val="标准文件_图表脚注内容"/>
    <w:uiPriority w:val="0"/>
    <w:rPr>
      <w:rFonts w:ascii="宋体" w:hAnsi="宋体" w:eastAsia="宋体" w:cs="Times New Roman"/>
      <w:spacing w:val="0"/>
      <w:sz w:val="18"/>
      <w:vertAlign w:val="superscript"/>
    </w:rPr>
  </w:style>
  <w:style w:type="paragraph" w:customStyle="1" w:styleId="103">
    <w:name w:val="标准文件_五级条标题"/>
    <w:next w:val="56"/>
    <w:qFormat/>
    <w:uiPriority w:val="0"/>
    <w:pPr>
      <w:widowControl w:val="0"/>
      <w:numPr>
        <w:ilvl w:val="6"/>
        <w:numId w:val="2"/>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104">
    <w:name w:val="标准文件_章标题"/>
    <w:next w:val="56"/>
    <w:qFormat/>
    <w:uiPriority w:val="0"/>
    <w:pPr>
      <w:numPr>
        <w:ilvl w:val="1"/>
        <w:numId w:val="2"/>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105">
    <w:name w:val="标准文件_一级条标题"/>
    <w:basedOn w:val="104"/>
    <w:next w:val="56"/>
    <w:qFormat/>
    <w:uiPriority w:val="0"/>
    <w:pPr>
      <w:numPr>
        <w:ilvl w:val="2"/>
      </w:numPr>
      <w:spacing w:before="50" w:beforeLines="50" w:after="50" w:afterLines="50"/>
      <w:outlineLvl w:val="1"/>
    </w:pPr>
  </w:style>
  <w:style w:type="paragraph" w:customStyle="1" w:styleId="106">
    <w:name w:val="标准文件_一致程度"/>
    <w:basedOn w:val="1"/>
    <w:qFormat/>
    <w:uiPriority w:val="0"/>
    <w:pPr>
      <w:spacing w:line="440" w:lineRule="exact"/>
      <w:jc w:val="center"/>
    </w:pPr>
    <w:rPr>
      <w:sz w:val="28"/>
    </w:rPr>
  </w:style>
  <w:style w:type="paragraph" w:customStyle="1" w:styleId="107">
    <w:name w:val="标准文件_引言标题"/>
    <w:next w:val="1"/>
    <w:qFormat/>
    <w:uiPriority w:val="0"/>
    <w:p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08">
    <w:name w:val="标准文件_英文图表脚注"/>
    <w:basedOn w:val="55"/>
    <w:qFormat/>
    <w:uiPriority w:val="0"/>
    <w:pPr>
      <w:widowControl/>
      <w:adjustRightInd/>
      <w:snapToGrid/>
      <w:spacing w:line="240" w:lineRule="auto"/>
      <w:ind w:left="79" w:hanging="79" w:hangingChars="80"/>
    </w:pPr>
    <w:rPr>
      <w:rFonts w:ascii="宋体" w:hAnsi="宋体"/>
    </w:rPr>
  </w:style>
  <w:style w:type="paragraph" w:customStyle="1" w:styleId="109">
    <w:name w:val="标准文件_数字编号列项（二级）"/>
    <w:qFormat/>
    <w:uiPriority w:val="0"/>
    <w:pPr>
      <w:numPr>
        <w:ilvl w:val="1"/>
        <w:numId w:val="13"/>
      </w:numPr>
      <w:jc w:val="both"/>
    </w:pPr>
    <w:rPr>
      <w:rFonts w:ascii="宋体" w:hAnsi="Times New Roman" w:eastAsia="宋体" w:cs="Times New Roman"/>
      <w:sz w:val="21"/>
      <w:lang w:val="en-US" w:eastAsia="zh-CN" w:bidi="ar-SA"/>
    </w:rPr>
  </w:style>
  <w:style w:type="paragraph" w:customStyle="1" w:styleId="110">
    <w:name w:val="标准文件_英文注："/>
    <w:basedOn w:val="1"/>
    <w:next w:val="56"/>
    <w:qFormat/>
    <w:uiPriority w:val="0"/>
    <w:pPr>
      <w:numPr>
        <w:ilvl w:val="0"/>
        <w:numId w:val="14"/>
      </w:numPr>
      <w:tabs>
        <w:tab w:val="left" w:pos="420"/>
      </w:tabs>
      <w:autoSpaceDE w:val="0"/>
      <w:autoSpaceDN w:val="0"/>
      <w:spacing w:line="240" w:lineRule="auto"/>
    </w:pPr>
    <w:rPr>
      <w:rFonts w:ascii="宋体" w:hAnsi="宋体"/>
      <w:kern w:val="0"/>
      <w:sz w:val="18"/>
      <w:szCs w:val="20"/>
    </w:rPr>
  </w:style>
  <w:style w:type="paragraph" w:customStyle="1" w:styleId="111">
    <w:name w:val="标准文件_英文注×："/>
    <w:basedOn w:val="1"/>
    <w:uiPriority w:val="0"/>
    <w:pPr>
      <w:numPr>
        <w:ilvl w:val="0"/>
        <w:numId w:val="15"/>
      </w:numPr>
      <w:tabs>
        <w:tab w:val="left" w:pos="210"/>
      </w:tabs>
      <w:autoSpaceDE w:val="0"/>
      <w:autoSpaceDN w:val="0"/>
      <w:spacing w:line="240" w:lineRule="auto"/>
    </w:pPr>
    <w:rPr>
      <w:rFonts w:ascii="宋体" w:hAnsi="宋体"/>
      <w:kern w:val="0"/>
      <w:szCs w:val="20"/>
    </w:rPr>
  </w:style>
  <w:style w:type="paragraph" w:customStyle="1" w:styleId="112">
    <w:name w:val="标准文件_正文表标题"/>
    <w:next w:val="56"/>
    <w:uiPriority w:val="0"/>
    <w:pPr>
      <w:numPr>
        <w:ilvl w:val="0"/>
        <w:numId w:val="16"/>
      </w:numPr>
      <w:tabs>
        <w:tab w:val="left" w:pos="0"/>
      </w:tabs>
      <w:spacing w:before="50" w:beforeLines="50" w:after="50" w:afterLines="50"/>
      <w:jc w:val="center"/>
    </w:pPr>
    <w:rPr>
      <w:rFonts w:ascii="黑体" w:hAnsi="Times New Roman" w:eastAsia="黑体" w:cs="Times New Roman"/>
      <w:sz w:val="21"/>
      <w:lang w:val="en-US" w:eastAsia="zh-CN" w:bidi="ar-SA"/>
    </w:rPr>
  </w:style>
  <w:style w:type="paragraph" w:customStyle="1" w:styleId="113">
    <w:name w:val="标准文件_正文公式"/>
    <w:basedOn w:val="1"/>
    <w:next w:val="55"/>
    <w:uiPriority w:val="0"/>
    <w:pPr>
      <w:tabs>
        <w:tab w:val="center" w:pos="4678"/>
        <w:tab w:val="right" w:leader="middleDot" w:pos="9356"/>
      </w:tabs>
      <w:spacing w:line="240" w:lineRule="auto"/>
    </w:pPr>
    <w:rPr>
      <w:rFonts w:ascii="宋体" w:hAnsi="宋体"/>
    </w:rPr>
  </w:style>
  <w:style w:type="paragraph" w:customStyle="1" w:styleId="114">
    <w:name w:val="标准文件_正文图标题"/>
    <w:next w:val="56"/>
    <w:uiPriority w:val="0"/>
    <w:pPr>
      <w:numPr>
        <w:ilvl w:val="0"/>
        <w:numId w:val="17"/>
      </w:numPr>
      <w:spacing w:before="50" w:beforeLines="50" w:after="50" w:afterLines="50"/>
      <w:jc w:val="center"/>
    </w:pPr>
    <w:rPr>
      <w:rFonts w:ascii="黑体" w:hAnsi="Times New Roman" w:eastAsia="黑体" w:cs="Times New Roman"/>
      <w:sz w:val="21"/>
      <w:lang w:val="en-US" w:eastAsia="zh-CN" w:bidi="ar-SA"/>
    </w:rPr>
  </w:style>
  <w:style w:type="paragraph" w:customStyle="1" w:styleId="115">
    <w:name w:val="标准文件_正文英文表标题"/>
    <w:next w:val="56"/>
    <w:qFormat/>
    <w:uiPriority w:val="0"/>
    <w:pPr>
      <w:numPr>
        <w:ilvl w:val="0"/>
        <w:numId w:val="18"/>
      </w:numPr>
      <w:jc w:val="center"/>
    </w:pPr>
    <w:rPr>
      <w:rFonts w:ascii="黑体" w:hAnsi="Times New Roman" w:eastAsia="黑体" w:cs="Times New Roman"/>
      <w:sz w:val="21"/>
      <w:lang w:val="en-US" w:eastAsia="zh-CN" w:bidi="ar-SA"/>
    </w:rPr>
  </w:style>
  <w:style w:type="paragraph" w:customStyle="1" w:styleId="116">
    <w:name w:val="标准文件_正文英文图标题"/>
    <w:next w:val="56"/>
    <w:qFormat/>
    <w:uiPriority w:val="0"/>
    <w:pPr>
      <w:numPr>
        <w:ilvl w:val="0"/>
        <w:numId w:val="19"/>
      </w:numPr>
      <w:jc w:val="center"/>
    </w:pPr>
    <w:rPr>
      <w:rFonts w:ascii="黑体" w:hAnsi="Times New Roman" w:eastAsia="黑体" w:cs="Times New Roman"/>
      <w:sz w:val="21"/>
      <w:lang w:val="en-US" w:eastAsia="zh-CN" w:bidi="ar-SA"/>
    </w:rPr>
  </w:style>
  <w:style w:type="paragraph" w:customStyle="1" w:styleId="117">
    <w:name w:val="标准文件_编号列项（三级）"/>
    <w:qFormat/>
    <w:uiPriority w:val="0"/>
    <w:pPr>
      <w:numPr>
        <w:ilvl w:val="2"/>
        <w:numId w:val="13"/>
      </w:numPr>
    </w:pPr>
    <w:rPr>
      <w:rFonts w:ascii="宋体" w:hAnsi="Times New Roman" w:eastAsia="宋体" w:cs="Times New Roman"/>
      <w:sz w:val="21"/>
      <w:lang w:val="en-US" w:eastAsia="zh-CN" w:bidi="ar-SA"/>
    </w:rPr>
  </w:style>
  <w:style w:type="paragraph" w:customStyle="1" w:styleId="118">
    <w:name w:val="二级无标题条"/>
    <w:basedOn w:val="1"/>
    <w:qFormat/>
    <w:uiPriority w:val="0"/>
    <w:pPr>
      <w:numPr>
        <w:ilvl w:val="3"/>
        <w:numId w:val="20"/>
      </w:numPr>
      <w:adjustRightInd/>
      <w:spacing w:line="240" w:lineRule="auto"/>
    </w:pPr>
    <w:rPr>
      <w:rFonts w:ascii="宋体" w:hAnsi="宋体"/>
      <w:szCs w:val="24"/>
    </w:rPr>
  </w:style>
  <w:style w:type="paragraph" w:customStyle="1" w:styleId="119">
    <w:name w:val="发布部门"/>
    <w:next w:val="56"/>
    <w:qFormat/>
    <w:uiPriority w:val="0"/>
    <w:pPr>
      <w:framePr w:w="7433" w:h="585" w:hRule="exact" w:hSpace="180" w:vSpace="180" w:wrap="around" w:vAnchor="margin" w:hAnchor="margin" w:xAlign="center" w:y="14401" w:anchorLock="1"/>
      <w:jc w:val="center"/>
    </w:pPr>
    <w:rPr>
      <w:rFonts w:ascii="宋体" w:hAnsi="Times New Roman" w:eastAsia="宋体" w:cs="Times New Roman"/>
      <w:b/>
      <w:w w:val="135"/>
      <w:sz w:val="36"/>
      <w:lang w:val="en-US" w:eastAsia="zh-CN" w:bidi="ar-SA"/>
    </w:rPr>
  </w:style>
  <w:style w:type="paragraph" w:customStyle="1" w:styleId="120">
    <w:name w:val="发布日期"/>
    <w:qFormat/>
    <w:uiPriority w:val="0"/>
    <w:pPr>
      <w:framePr w:w="4000" w:h="473" w:hRule="exact" w:hSpace="180" w:vSpace="180" w:wrap="around" w:vAnchor="margin" w:hAnchor="margin" w:y="13511" w:anchorLock="1"/>
    </w:pPr>
    <w:rPr>
      <w:rFonts w:ascii="Times New Roman" w:hAnsi="Times New Roman" w:eastAsia="黑体" w:cs="Times New Roman"/>
      <w:sz w:val="28"/>
      <w:lang w:val="en-US" w:eastAsia="zh-CN" w:bidi="ar-SA"/>
    </w:rPr>
  </w:style>
  <w:style w:type="paragraph" w:customStyle="1" w:styleId="121">
    <w:name w:val="封面标准代替信息"/>
    <w:basedOn w:val="1"/>
    <w:qFormat/>
    <w:uiPriority w:val="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122">
    <w:name w:val="封面标准名称"/>
    <w:qFormat/>
    <w:uiPriority w:val="0"/>
    <w:pPr>
      <w:framePr w:w="9638" w:h="6917" w:hRule="exact" w:wrap="around" w:vAnchor="margin" w:hAnchor="margin" w:xAlign="center" w:y="5955" w:anchorLock="1"/>
      <w:widowControl w:val="0"/>
      <w:spacing w:line="680" w:lineRule="exact"/>
      <w:jc w:val="center"/>
      <w:textAlignment w:val="center"/>
    </w:pPr>
    <w:rPr>
      <w:rFonts w:ascii="黑体" w:hAnsi="Times New Roman" w:eastAsia="黑体" w:cs="Times New Roman"/>
      <w:sz w:val="52"/>
      <w:lang w:val="en-US" w:eastAsia="zh-CN" w:bidi="ar-SA"/>
    </w:rPr>
  </w:style>
  <w:style w:type="paragraph" w:customStyle="1" w:styleId="123">
    <w:name w:val="封面标准文稿编辑信息"/>
    <w:qFormat/>
    <w:uiPriority w:val="0"/>
    <w:pPr>
      <w:spacing w:before="180" w:line="180" w:lineRule="exact"/>
      <w:jc w:val="center"/>
    </w:pPr>
    <w:rPr>
      <w:rFonts w:ascii="宋体" w:hAnsi="Times New Roman" w:eastAsia="宋体" w:cs="Times New Roman"/>
      <w:sz w:val="21"/>
      <w:lang w:val="en-US" w:eastAsia="zh-CN" w:bidi="ar-SA"/>
    </w:rPr>
  </w:style>
  <w:style w:type="paragraph" w:customStyle="1" w:styleId="124">
    <w:name w:val="封面标准文稿类别"/>
    <w:qFormat/>
    <w:uiPriority w:val="0"/>
    <w:pPr>
      <w:spacing w:before="440" w:line="400" w:lineRule="exact"/>
      <w:jc w:val="center"/>
    </w:pPr>
    <w:rPr>
      <w:rFonts w:ascii="宋体" w:hAnsi="Times New Roman" w:eastAsia="宋体" w:cs="Times New Roman"/>
      <w:sz w:val="24"/>
      <w:lang w:val="en-US" w:eastAsia="zh-CN" w:bidi="ar-SA"/>
    </w:rPr>
  </w:style>
  <w:style w:type="paragraph" w:customStyle="1" w:styleId="125">
    <w:name w:val="封面标准英文名称"/>
    <w:qFormat/>
    <w:uiPriority w:val="0"/>
    <w:pPr>
      <w:widowControl w:val="0"/>
      <w:spacing w:line="360" w:lineRule="exact"/>
      <w:jc w:val="center"/>
    </w:pPr>
    <w:rPr>
      <w:rFonts w:ascii="Times New Roman" w:hAnsi="Times New Roman" w:eastAsia="宋体" w:cs="Times New Roman"/>
      <w:sz w:val="28"/>
      <w:lang w:val="en-US" w:eastAsia="zh-CN" w:bidi="ar-SA"/>
    </w:rPr>
  </w:style>
  <w:style w:type="paragraph" w:customStyle="1" w:styleId="126">
    <w:name w:val="封面一致性程度标识"/>
    <w:qFormat/>
    <w:uiPriority w:val="0"/>
    <w:pPr>
      <w:spacing w:before="440" w:line="440" w:lineRule="exact"/>
      <w:jc w:val="center"/>
    </w:pPr>
    <w:rPr>
      <w:rFonts w:ascii="Times New Roman" w:hAnsi="Times New Roman" w:eastAsia="宋体" w:cs="Times New Roman"/>
      <w:sz w:val="28"/>
      <w:lang w:val="en-US" w:eastAsia="zh-CN" w:bidi="ar-SA"/>
    </w:rPr>
  </w:style>
  <w:style w:type="paragraph" w:customStyle="1" w:styleId="127">
    <w:name w:val="封面正文"/>
    <w:qFormat/>
    <w:uiPriority w:val="0"/>
    <w:pPr>
      <w:jc w:val="both"/>
    </w:pPr>
    <w:rPr>
      <w:rFonts w:ascii="Times New Roman" w:hAnsi="Times New Roman" w:eastAsia="宋体" w:cs="Times New Roman"/>
      <w:lang w:val="en-US" w:eastAsia="zh-CN" w:bidi="ar-SA"/>
    </w:rPr>
  </w:style>
  <w:style w:type="paragraph" w:customStyle="1" w:styleId="128">
    <w:name w:val="附录二级无标题条"/>
    <w:basedOn w:val="1"/>
    <w:next w:val="56"/>
    <w:qFormat/>
    <w:uiPriority w:val="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129">
    <w:name w:val="附录三级无标题条"/>
    <w:basedOn w:val="128"/>
    <w:next w:val="56"/>
    <w:qFormat/>
    <w:uiPriority w:val="0"/>
    <w:pPr>
      <w:outlineLvl w:val="4"/>
    </w:pPr>
  </w:style>
  <w:style w:type="paragraph" w:customStyle="1" w:styleId="130">
    <w:name w:val="附录四级无标题条"/>
    <w:basedOn w:val="129"/>
    <w:next w:val="56"/>
    <w:qFormat/>
    <w:uiPriority w:val="0"/>
    <w:pPr>
      <w:outlineLvl w:val="5"/>
    </w:pPr>
  </w:style>
  <w:style w:type="paragraph" w:customStyle="1" w:styleId="131">
    <w:name w:val="附录图"/>
    <w:next w:val="56"/>
    <w:qFormat/>
    <w:uiPriority w:val="0"/>
    <w:pPr>
      <w:wordWrap w:val="0"/>
      <w:overflowPunct w:val="0"/>
      <w:autoSpaceDE w:val="0"/>
      <w:spacing w:before="50" w:beforeLines="50" w:after="50" w:afterLines="50"/>
      <w:jc w:val="center"/>
      <w:textAlignment w:val="baseline"/>
      <w:outlineLvl w:val="1"/>
    </w:pPr>
    <w:rPr>
      <w:rFonts w:ascii="黑体" w:hAnsi="Times New Roman" w:eastAsia="黑体" w:cs="Times New Roman"/>
      <w:kern w:val="21"/>
      <w:sz w:val="21"/>
      <w:lang w:val="en-US" w:eastAsia="zh-CN" w:bidi="ar-SA"/>
    </w:rPr>
  </w:style>
  <w:style w:type="paragraph" w:customStyle="1" w:styleId="132">
    <w:name w:val="标准文件_一级项"/>
    <w:qFormat/>
    <w:uiPriority w:val="0"/>
    <w:pPr>
      <w:numPr>
        <w:ilvl w:val="0"/>
        <w:numId w:val="21"/>
      </w:numPr>
    </w:pPr>
    <w:rPr>
      <w:rFonts w:ascii="宋体" w:hAnsi="Times New Roman" w:eastAsia="宋体" w:cs="Times New Roman"/>
      <w:sz w:val="21"/>
      <w:lang w:val="en-US" w:eastAsia="zh-CN" w:bidi="ar-SA"/>
    </w:rPr>
  </w:style>
  <w:style w:type="paragraph" w:customStyle="1" w:styleId="133">
    <w:name w:val="附录五级无标题条"/>
    <w:basedOn w:val="130"/>
    <w:next w:val="56"/>
    <w:qFormat/>
    <w:uiPriority w:val="0"/>
    <w:pPr>
      <w:outlineLvl w:val="6"/>
    </w:pPr>
  </w:style>
  <w:style w:type="paragraph" w:customStyle="1" w:styleId="134">
    <w:name w:val="附录性质"/>
    <w:basedOn w:val="1"/>
    <w:qFormat/>
    <w:uiPriority w:val="0"/>
    <w:pPr>
      <w:widowControl/>
      <w:adjustRightInd/>
      <w:jc w:val="center"/>
    </w:pPr>
    <w:rPr>
      <w:rFonts w:ascii="黑体" w:eastAsia="黑体"/>
    </w:rPr>
  </w:style>
  <w:style w:type="paragraph" w:customStyle="1" w:styleId="135">
    <w:name w:val="附录一级无标题条"/>
    <w:basedOn w:val="87"/>
    <w:next w:val="56"/>
    <w:qFormat/>
    <w:uiPriority w:val="0"/>
    <w:pPr>
      <w:autoSpaceDN w:val="0"/>
      <w:outlineLvl w:val="2"/>
    </w:pPr>
    <w:rPr>
      <w:rFonts w:ascii="宋体" w:hAnsi="宋体" w:eastAsia="宋体"/>
    </w:rPr>
  </w:style>
  <w:style w:type="character" w:customStyle="1" w:styleId="136">
    <w:name w:val="个人答复风格"/>
    <w:qFormat/>
    <w:uiPriority w:val="0"/>
    <w:rPr>
      <w:rFonts w:ascii="Arial" w:hAnsi="Arial" w:eastAsia="宋体" w:cs="Arial"/>
      <w:color w:val="auto"/>
      <w:spacing w:val="0"/>
      <w:sz w:val="20"/>
    </w:rPr>
  </w:style>
  <w:style w:type="character" w:customStyle="1" w:styleId="137">
    <w:name w:val="个人撰写风格"/>
    <w:qFormat/>
    <w:uiPriority w:val="0"/>
    <w:rPr>
      <w:rFonts w:ascii="Arial" w:hAnsi="Arial" w:eastAsia="宋体" w:cs="Arial"/>
      <w:color w:val="auto"/>
      <w:spacing w:val="0"/>
      <w:sz w:val="20"/>
    </w:rPr>
  </w:style>
  <w:style w:type="paragraph" w:customStyle="1" w:styleId="138">
    <w:name w:val="脚注后续"/>
    <w:qFormat/>
    <w:uiPriority w:val="0"/>
    <w:pPr>
      <w:ind w:left="350" w:leftChars="350"/>
      <w:jc w:val="both"/>
    </w:pPr>
    <w:rPr>
      <w:rFonts w:ascii="宋体" w:hAnsi="Times New Roman" w:eastAsia="宋体" w:cs="Times New Roman"/>
      <w:sz w:val="18"/>
      <w:lang w:val="en-US" w:eastAsia="zh-CN" w:bidi="ar-SA"/>
    </w:rPr>
  </w:style>
  <w:style w:type="paragraph" w:customStyle="1" w:styleId="139">
    <w:name w:val="列项——"/>
    <w:qFormat/>
    <w:uiPriority w:val="0"/>
    <w:pPr>
      <w:widowControl w:val="0"/>
      <w:numPr>
        <w:ilvl w:val="0"/>
        <w:numId w:val="22"/>
      </w:numPr>
      <w:jc w:val="both"/>
    </w:pPr>
    <w:rPr>
      <w:rFonts w:ascii="宋体" w:hAnsi="宋体" w:eastAsia="宋体" w:cs="Times New Roman"/>
      <w:sz w:val="21"/>
      <w:lang w:val="en-US" w:eastAsia="zh-CN" w:bidi="ar-SA"/>
    </w:rPr>
  </w:style>
  <w:style w:type="paragraph" w:customStyle="1" w:styleId="140">
    <w:name w:val="列项·"/>
    <w:basedOn w:val="56"/>
    <w:qFormat/>
    <w:uiPriority w:val="0"/>
    <w:pPr>
      <w:tabs>
        <w:tab w:val="left" w:pos="840"/>
      </w:tabs>
    </w:pPr>
  </w:style>
  <w:style w:type="paragraph" w:customStyle="1" w:styleId="141">
    <w:name w:val="目次、索引正文"/>
    <w:qFormat/>
    <w:uiPriority w:val="0"/>
    <w:pPr>
      <w:spacing w:line="320" w:lineRule="exact"/>
      <w:jc w:val="both"/>
    </w:pPr>
    <w:rPr>
      <w:rFonts w:ascii="宋体" w:hAnsi="Times New Roman" w:eastAsia="宋体" w:cs="Times New Roman"/>
      <w:sz w:val="21"/>
      <w:lang w:val="en-US" w:eastAsia="zh-CN" w:bidi="ar-SA"/>
    </w:rPr>
  </w:style>
  <w:style w:type="paragraph" w:customStyle="1" w:styleId="142">
    <w:name w:val="目录 21"/>
    <w:basedOn w:val="1"/>
    <w:next w:val="1"/>
    <w:autoRedefine/>
    <w:semiHidden/>
    <w:qFormat/>
    <w:uiPriority w:val="0"/>
    <w:pPr>
      <w:adjustRightInd/>
      <w:spacing w:line="240" w:lineRule="auto"/>
      <w:jc w:val="left"/>
    </w:pPr>
    <w:rPr>
      <w:bCs/>
      <w:iCs/>
    </w:rPr>
  </w:style>
  <w:style w:type="paragraph" w:customStyle="1" w:styleId="143">
    <w:name w:val="目录 31"/>
    <w:basedOn w:val="1"/>
    <w:next w:val="1"/>
    <w:autoRedefine/>
    <w:semiHidden/>
    <w:qFormat/>
    <w:uiPriority w:val="0"/>
    <w:pPr>
      <w:spacing w:line="240" w:lineRule="auto"/>
    </w:pPr>
    <w:rPr>
      <w:rFonts w:ascii="宋体" w:hAnsi="宋体"/>
      <w:iCs/>
    </w:rPr>
  </w:style>
  <w:style w:type="paragraph" w:customStyle="1" w:styleId="144">
    <w:name w:val="目录 41"/>
    <w:basedOn w:val="1"/>
    <w:next w:val="1"/>
    <w:autoRedefine/>
    <w:semiHidden/>
    <w:qFormat/>
    <w:uiPriority w:val="0"/>
    <w:pPr>
      <w:adjustRightInd/>
      <w:spacing w:line="240" w:lineRule="auto"/>
      <w:jc w:val="left"/>
    </w:pPr>
  </w:style>
  <w:style w:type="paragraph" w:customStyle="1" w:styleId="145">
    <w:name w:val="目录 51"/>
    <w:basedOn w:val="1"/>
    <w:next w:val="1"/>
    <w:autoRedefine/>
    <w:semiHidden/>
    <w:qFormat/>
    <w:uiPriority w:val="0"/>
    <w:pPr>
      <w:spacing w:line="240" w:lineRule="auto"/>
    </w:pPr>
    <w:rPr>
      <w:rFonts w:ascii="宋体" w:hAnsi="宋体"/>
    </w:rPr>
  </w:style>
  <w:style w:type="paragraph" w:customStyle="1" w:styleId="146">
    <w:name w:val="目录 61"/>
    <w:basedOn w:val="1"/>
    <w:next w:val="1"/>
    <w:autoRedefine/>
    <w:semiHidden/>
    <w:qFormat/>
    <w:uiPriority w:val="0"/>
    <w:pPr>
      <w:adjustRightInd/>
      <w:spacing w:line="240" w:lineRule="auto"/>
      <w:jc w:val="left"/>
    </w:pPr>
  </w:style>
  <w:style w:type="paragraph" w:customStyle="1" w:styleId="147">
    <w:name w:val="目录 71"/>
    <w:basedOn w:val="146"/>
    <w:autoRedefine/>
    <w:semiHidden/>
    <w:qFormat/>
    <w:uiPriority w:val="0"/>
    <w:pPr>
      <w:ind w:left="1260"/>
    </w:pPr>
  </w:style>
  <w:style w:type="paragraph" w:customStyle="1" w:styleId="148">
    <w:name w:val="目录 81"/>
    <w:basedOn w:val="147"/>
    <w:autoRedefine/>
    <w:semiHidden/>
    <w:qFormat/>
    <w:uiPriority w:val="0"/>
    <w:pPr>
      <w:ind w:left="1470"/>
    </w:pPr>
  </w:style>
  <w:style w:type="paragraph" w:customStyle="1" w:styleId="149">
    <w:name w:val="目录 91"/>
    <w:basedOn w:val="148"/>
    <w:autoRedefine/>
    <w:semiHidden/>
    <w:qFormat/>
    <w:uiPriority w:val="0"/>
    <w:pPr>
      <w:ind w:left="1680"/>
    </w:pPr>
  </w:style>
  <w:style w:type="paragraph" w:customStyle="1" w:styleId="150">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151">
    <w:name w:val="其他发布部门"/>
    <w:basedOn w:val="119"/>
    <w:qFormat/>
    <w:uiPriority w:val="0"/>
    <w:pPr>
      <w:framePr w:wrap="around"/>
      <w:spacing w:line="0" w:lineRule="atLeast"/>
    </w:pPr>
    <w:rPr>
      <w:rFonts w:ascii="黑体" w:eastAsia="黑体"/>
      <w:b w:val="0"/>
    </w:rPr>
  </w:style>
  <w:style w:type="paragraph" w:customStyle="1" w:styleId="152">
    <w:name w:val="前言标题"/>
    <w:next w:val="1"/>
    <w:qFormat/>
    <w:uiPriority w:val="0"/>
    <w:pPr>
      <w:numPr>
        <w:ilvl w:val="0"/>
        <w:numId w:val="2"/>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153">
    <w:name w:val="三级无标题条"/>
    <w:basedOn w:val="1"/>
    <w:qFormat/>
    <w:uiPriority w:val="0"/>
    <w:pPr>
      <w:numPr>
        <w:ilvl w:val="4"/>
        <w:numId w:val="20"/>
      </w:numPr>
      <w:adjustRightInd/>
      <w:spacing w:line="240" w:lineRule="auto"/>
    </w:pPr>
    <w:rPr>
      <w:rFonts w:ascii="宋体" w:hAnsi="宋体"/>
      <w:szCs w:val="24"/>
    </w:rPr>
  </w:style>
  <w:style w:type="paragraph" w:customStyle="1" w:styleId="154">
    <w:name w:val="实施日期"/>
    <w:basedOn w:val="120"/>
    <w:qFormat/>
    <w:uiPriority w:val="0"/>
    <w:pPr>
      <w:framePr w:hSpace="0" w:wrap="around" w:xAlign="right"/>
      <w:jc w:val="right"/>
    </w:pPr>
  </w:style>
  <w:style w:type="paragraph" w:customStyle="1" w:styleId="155">
    <w:name w:val="四级无标题条"/>
    <w:basedOn w:val="1"/>
    <w:qFormat/>
    <w:uiPriority w:val="0"/>
    <w:pPr>
      <w:numPr>
        <w:ilvl w:val="5"/>
        <w:numId w:val="20"/>
      </w:numPr>
      <w:adjustRightInd/>
      <w:spacing w:line="240" w:lineRule="auto"/>
    </w:pPr>
    <w:rPr>
      <w:rFonts w:ascii="宋体" w:hAnsi="宋体"/>
      <w:szCs w:val="24"/>
    </w:rPr>
  </w:style>
  <w:style w:type="paragraph" w:customStyle="1" w:styleId="156">
    <w:name w:val="文献分类号"/>
    <w:qFormat/>
    <w:uiPriority w:val="0"/>
    <w:pPr>
      <w:framePr w:hSpace="180" w:vSpace="180" w:wrap="around" w:vAnchor="margin" w:hAnchor="margin" w:y="1" w:anchorLock="1"/>
      <w:widowControl w:val="0"/>
      <w:textAlignment w:val="center"/>
    </w:pPr>
    <w:rPr>
      <w:rFonts w:ascii="Times New Roman" w:hAnsi="Times New Roman" w:eastAsia="黑体" w:cs="Times New Roman"/>
      <w:sz w:val="21"/>
      <w:lang w:val="en-US" w:eastAsia="zh-CN" w:bidi="ar-SA"/>
    </w:rPr>
  </w:style>
  <w:style w:type="paragraph" w:customStyle="1" w:styleId="157">
    <w:name w:val="无标题条"/>
    <w:next w:val="56"/>
    <w:qFormat/>
    <w:uiPriority w:val="0"/>
    <w:pPr>
      <w:jc w:val="both"/>
    </w:pPr>
    <w:rPr>
      <w:rFonts w:ascii="宋体" w:hAnsi="宋体" w:eastAsia="宋体" w:cs="Times New Roman"/>
      <w:sz w:val="21"/>
      <w:lang w:val="en-US" w:eastAsia="zh-CN" w:bidi="ar-SA"/>
    </w:rPr>
  </w:style>
  <w:style w:type="paragraph" w:customStyle="1" w:styleId="158">
    <w:name w:val="五级无标题条"/>
    <w:basedOn w:val="1"/>
    <w:qFormat/>
    <w:uiPriority w:val="0"/>
    <w:pPr>
      <w:numPr>
        <w:ilvl w:val="6"/>
        <w:numId w:val="20"/>
      </w:numPr>
      <w:adjustRightInd/>
    </w:pPr>
    <w:rPr>
      <w:szCs w:val="24"/>
    </w:rPr>
  </w:style>
  <w:style w:type="paragraph" w:customStyle="1" w:styleId="159">
    <w:name w:val="一级无标题条"/>
    <w:basedOn w:val="1"/>
    <w:qFormat/>
    <w:uiPriority w:val="0"/>
    <w:pPr>
      <w:numPr>
        <w:ilvl w:val="2"/>
        <w:numId w:val="20"/>
      </w:numPr>
      <w:adjustRightInd/>
      <w:spacing w:before="10" w:after="10" w:line="240" w:lineRule="auto"/>
    </w:pPr>
    <w:rPr>
      <w:rFonts w:ascii="宋体" w:hAnsi="宋体"/>
      <w:szCs w:val="24"/>
    </w:rPr>
  </w:style>
  <w:style w:type="paragraph" w:customStyle="1" w:styleId="160">
    <w:name w:val="注:后续"/>
    <w:qFormat/>
    <w:uiPriority w:val="0"/>
    <w:pPr>
      <w:spacing w:line="300" w:lineRule="exact"/>
      <w:ind w:left="600" w:leftChars="400" w:hanging="200" w:hangingChars="200"/>
      <w:jc w:val="both"/>
    </w:pPr>
    <w:rPr>
      <w:rFonts w:ascii="宋体" w:hAnsi="Times New Roman" w:eastAsia="宋体" w:cs="Times New Roman"/>
      <w:sz w:val="18"/>
      <w:lang w:val="en-US" w:eastAsia="zh-CN" w:bidi="ar-SA"/>
    </w:rPr>
  </w:style>
  <w:style w:type="paragraph" w:customStyle="1" w:styleId="161">
    <w:name w:val="注×:后续"/>
    <w:basedOn w:val="160"/>
    <w:qFormat/>
    <w:uiPriority w:val="0"/>
    <w:pPr>
      <w:ind w:left="1406" w:leftChars="0" w:hanging="499" w:firstLineChars="0"/>
    </w:pPr>
  </w:style>
  <w:style w:type="paragraph" w:customStyle="1" w:styleId="162">
    <w:name w:val="标准文件_一级无标题"/>
    <w:basedOn w:val="105"/>
    <w:qFormat/>
    <w:uiPriority w:val="0"/>
    <w:pPr>
      <w:spacing w:before="0" w:beforeLines="0" w:after="0" w:afterLines="0"/>
      <w:outlineLvl w:val="9"/>
    </w:pPr>
    <w:rPr>
      <w:rFonts w:ascii="宋体" w:eastAsia="宋体"/>
    </w:rPr>
  </w:style>
  <w:style w:type="paragraph" w:customStyle="1" w:styleId="163">
    <w:name w:val="标准文件_五级无标题"/>
    <w:basedOn w:val="103"/>
    <w:qFormat/>
    <w:uiPriority w:val="0"/>
    <w:pPr>
      <w:spacing w:before="0" w:beforeLines="0" w:after="0" w:afterLines="0"/>
      <w:outlineLvl w:val="9"/>
    </w:pPr>
    <w:rPr>
      <w:rFonts w:ascii="宋体" w:eastAsia="宋体"/>
    </w:rPr>
  </w:style>
  <w:style w:type="paragraph" w:customStyle="1" w:styleId="164">
    <w:name w:val="标准文件_三级无标题"/>
    <w:basedOn w:val="94"/>
    <w:qFormat/>
    <w:uiPriority w:val="0"/>
    <w:pPr>
      <w:spacing w:before="0" w:beforeLines="0" w:after="0" w:afterLines="0"/>
      <w:outlineLvl w:val="9"/>
    </w:pPr>
    <w:rPr>
      <w:rFonts w:ascii="宋体" w:eastAsia="宋体"/>
    </w:rPr>
  </w:style>
  <w:style w:type="paragraph" w:customStyle="1" w:styleId="165">
    <w:name w:val="标准文件_二级无标题"/>
    <w:basedOn w:val="65"/>
    <w:qFormat/>
    <w:uiPriority w:val="0"/>
    <w:pPr>
      <w:spacing w:before="0" w:beforeLines="0" w:after="0" w:afterLines="0"/>
      <w:outlineLvl w:val="9"/>
    </w:pPr>
    <w:rPr>
      <w:rFonts w:ascii="宋体" w:eastAsia="宋体"/>
    </w:rPr>
  </w:style>
  <w:style w:type="paragraph" w:customStyle="1" w:styleId="166">
    <w:name w:val="标准_四级无标题"/>
    <w:basedOn w:val="98"/>
    <w:next w:val="56"/>
    <w:qFormat/>
    <w:uiPriority w:val="0"/>
    <w:rPr>
      <w:rFonts w:eastAsia="宋体"/>
    </w:rPr>
  </w:style>
  <w:style w:type="paragraph" w:customStyle="1" w:styleId="167">
    <w:name w:val="标准文件_四级无标题"/>
    <w:basedOn w:val="98"/>
    <w:qFormat/>
    <w:uiPriority w:val="0"/>
    <w:pPr>
      <w:spacing w:before="0" w:beforeLines="0" w:after="0" w:afterLines="0"/>
      <w:outlineLvl w:val="9"/>
    </w:pPr>
    <w:rPr>
      <w:rFonts w:ascii="宋体" w:hAnsi="黑体" w:eastAsia="宋体"/>
      <w:szCs w:val="52"/>
    </w:rPr>
  </w:style>
  <w:style w:type="paragraph" w:customStyle="1" w:styleId="168">
    <w:name w:val="标准文件_大写罗马数字编号列项"/>
    <w:basedOn w:val="56"/>
    <w:qFormat/>
    <w:uiPriority w:val="0"/>
    <w:pPr>
      <w:numPr>
        <w:ilvl w:val="0"/>
        <w:numId w:val="23"/>
      </w:numPr>
      <w:ind w:firstLine="0" w:firstLineChars="0"/>
    </w:pPr>
    <w:rPr>
      <w:rFonts w:ascii="Times New Roman" w:cs="Arial"/>
      <w:szCs w:val="28"/>
    </w:rPr>
  </w:style>
  <w:style w:type="paragraph" w:customStyle="1" w:styleId="169">
    <w:name w:val="标准文件_小写罗马数字编号列项"/>
    <w:basedOn w:val="56"/>
    <w:qFormat/>
    <w:uiPriority w:val="0"/>
    <w:pPr>
      <w:numPr>
        <w:ilvl w:val="0"/>
        <w:numId w:val="24"/>
      </w:numPr>
      <w:ind w:firstLine="0" w:firstLineChars="0"/>
    </w:pPr>
    <w:rPr>
      <w:rFonts w:cs="Arial"/>
      <w:szCs w:val="28"/>
    </w:rPr>
  </w:style>
  <w:style w:type="paragraph" w:customStyle="1" w:styleId="170">
    <w:name w:val="标准文件_附录标题"/>
    <w:basedOn w:val="76"/>
    <w:qFormat/>
    <w:uiPriority w:val="0"/>
    <w:pPr>
      <w:numPr>
        <w:numId w:val="0"/>
      </w:numPr>
      <w:spacing w:after="280"/>
      <w:outlineLvl w:val="9"/>
    </w:pPr>
  </w:style>
  <w:style w:type="paragraph" w:customStyle="1" w:styleId="171">
    <w:name w:val="标准文件_二级项"/>
    <w:qFormat/>
    <w:uiPriority w:val="0"/>
    <w:rPr>
      <w:rFonts w:ascii="宋体" w:hAnsi="Times New Roman" w:eastAsia="宋体" w:cs="Times New Roman"/>
      <w:sz w:val="21"/>
      <w:lang w:val="en-US" w:eastAsia="zh-CN" w:bidi="ar-SA"/>
    </w:rPr>
  </w:style>
  <w:style w:type="paragraph" w:customStyle="1" w:styleId="172">
    <w:name w:val="标准文件_三级项"/>
    <w:basedOn w:val="1"/>
    <w:qFormat/>
    <w:uiPriority w:val="0"/>
    <w:pPr>
      <w:numPr>
        <w:ilvl w:val="2"/>
        <w:numId w:val="21"/>
      </w:numPr>
      <w:spacing w:line="536870612" w:lineRule="auto"/>
    </w:pPr>
    <w:rPr>
      <w:rFonts w:ascii="Times New Roman" w:hAnsi="Times New Roman"/>
    </w:rPr>
  </w:style>
  <w:style w:type="paragraph" w:customStyle="1" w:styleId="173">
    <w:name w:val="图表脚注说明"/>
    <w:basedOn w:val="1"/>
    <w:next w:val="56"/>
    <w:qFormat/>
    <w:uiPriority w:val="0"/>
    <w:pPr>
      <w:numPr>
        <w:ilvl w:val="0"/>
        <w:numId w:val="25"/>
      </w:numPr>
      <w:adjustRightInd/>
      <w:spacing w:line="240" w:lineRule="auto"/>
    </w:pPr>
    <w:rPr>
      <w:rFonts w:ascii="宋体" w:hAnsi="Times New Roman"/>
      <w:sz w:val="18"/>
      <w:szCs w:val="18"/>
    </w:rPr>
  </w:style>
  <w:style w:type="paragraph" w:customStyle="1" w:styleId="174">
    <w:name w:val="标准文件_字母编号列项（一级）"/>
    <w:qFormat/>
    <w:uiPriority w:val="0"/>
    <w:pPr>
      <w:numPr>
        <w:ilvl w:val="0"/>
        <w:numId w:val="13"/>
      </w:numPr>
      <w:jc w:val="both"/>
    </w:pPr>
    <w:rPr>
      <w:rFonts w:ascii="宋体" w:hAnsi="Times New Roman" w:eastAsia="宋体" w:cs="Times New Roman"/>
      <w:sz w:val="21"/>
      <w:lang w:val="en-US" w:eastAsia="zh-CN" w:bidi="ar-SA"/>
    </w:rPr>
  </w:style>
  <w:style w:type="paragraph" w:customStyle="1" w:styleId="175">
    <w:name w:val="标准文件_索引字母"/>
    <w:next w:val="56"/>
    <w:qFormat/>
    <w:uiPriority w:val="0"/>
    <w:pPr>
      <w:jc w:val="center"/>
    </w:pPr>
    <w:rPr>
      <w:rFonts w:ascii="宋体" w:hAnsi="宋体" w:eastAsia="Times New Roman" w:cs="Times New Roman"/>
      <w:b/>
      <w:kern w:val="2"/>
      <w:sz w:val="21"/>
      <w:lang w:val="en-US" w:eastAsia="zh-CN" w:bidi="ar-SA"/>
    </w:rPr>
  </w:style>
  <w:style w:type="paragraph" w:customStyle="1" w:styleId="176">
    <w:name w:val="标准文件_附录前"/>
    <w:next w:val="56"/>
    <w:qFormat/>
    <w:uiPriority w:val="0"/>
    <w:pPr>
      <w:spacing w:line="20" w:lineRule="atLeast"/>
      <w:ind w:firstLine="200"/>
    </w:pPr>
    <w:rPr>
      <w:rFonts w:ascii="宋体" w:hAnsi="宋体" w:eastAsia="宋体" w:cs="Times New Roman"/>
      <w:kern w:val="2"/>
      <w:sz w:val="10"/>
      <w:lang w:val="en-US" w:eastAsia="zh-CN" w:bidi="ar-SA"/>
    </w:rPr>
  </w:style>
  <w:style w:type="paragraph" w:customStyle="1" w:styleId="177">
    <w:name w:val="标准文件_正文标准名称"/>
    <w:qFormat/>
    <w:uiPriority w:val="0"/>
    <w:pPr>
      <w:spacing w:before="560" w:after="640" w:line="400" w:lineRule="exact"/>
      <w:jc w:val="center"/>
    </w:pPr>
    <w:rPr>
      <w:rFonts w:ascii="黑体" w:hAnsi="黑体" w:eastAsia="黑体" w:cs="Times New Roman"/>
      <w:kern w:val="2"/>
      <w:sz w:val="32"/>
      <w:szCs w:val="32"/>
      <w:lang w:val="en-US" w:eastAsia="zh-CN" w:bidi="ar-SA"/>
    </w:rPr>
  </w:style>
  <w:style w:type="paragraph" w:customStyle="1" w:styleId="178">
    <w:name w:val="标准文件_表格"/>
    <w:basedOn w:val="56"/>
    <w:qFormat/>
    <w:uiPriority w:val="0"/>
    <w:pPr>
      <w:ind w:firstLine="0" w:firstLineChars="0"/>
      <w:jc w:val="center"/>
    </w:pPr>
    <w:rPr>
      <w:sz w:val="18"/>
    </w:rPr>
  </w:style>
  <w:style w:type="paragraph" w:customStyle="1" w:styleId="179">
    <w:name w:val="标准文件_注："/>
    <w:next w:val="56"/>
    <w:qFormat/>
    <w:uiPriority w:val="0"/>
    <w:pPr>
      <w:widowControl w:val="0"/>
      <w:numPr>
        <w:ilvl w:val="0"/>
        <w:numId w:val="26"/>
      </w:numPr>
      <w:autoSpaceDE w:val="0"/>
      <w:autoSpaceDN w:val="0"/>
      <w:jc w:val="both"/>
    </w:pPr>
    <w:rPr>
      <w:rFonts w:ascii="宋体" w:hAnsi="Times New Roman" w:eastAsia="宋体" w:cs="Times New Roman"/>
      <w:sz w:val="18"/>
      <w:szCs w:val="18"/>
      <w:lang w:val="en-US" w:eastAsia="zh-CN" w:bidi="ar-SA"/>
    </w:rPr>
  </w:style>
  <w:style w:type="paragraph" w:customStyle="1" w:styleId="180">
    <w:name w:val="标准文件_注×："/>
    <w:qFormat/>
    <w:uiPriority w:val="0"/>
    <w:pPr>
      <w:widowControl w:val="0"/>
      <w:numPr>
        <w:ilvl w:val="0"/>
        <w:numId w:val="27"/>
      </w:numPr>
      <w:autoSpaceDE w:val="0"/>
      <w:autoSpaceDN w:val="0"/>
      <w:jc w:val="both"/>
    </w:pPr>
    <w:rPr>
      <w:rFonts w:ascii="宋体" w:hAnsi="Times New Roman" w:eastAsia="宋体" w:cs="Times New Roman"/>
      <w:sz w:val="18"/>
      <w:szCs w:val="18"/>
      <w:lang w:val="en-US" w:eastAsia="zh-CN" w:bidi="ar-SA"/>
    </w:rPr>
  </w:style>
  <w:style w:type="paragraph" w:customStyle="1" w:styleId="181">
    <w:name w:val="标准文件_示例："/>
    <w:next w:val="182"/>
    <w:qFormat/>
    <w:uiPriority w:val="0"/>
    <w:pPr>
      <w:widowControl w:val="0"/>
      <w:numPr>
        <w:ilvl w:val="0"/>
        <w:numId w:val="28"/>
      </w:numPr>
      <w:jc w:val="both"/>
    </w:pPr>
    <w:rPr>
      <w:rFonts w:ascii="宋体" w:hAnsi="Times New Roman" w:eastAsia="宋体" w:cs="Times New Roman"/>
      <w:sz w:val="18"/>
      <w:szCs w:val="18"/>
      <w:lang w:val="en-US" w:eastAsia="zh-CN" w:bidi="ar-SA"/>
    </w:rPr>
  </w:style>
  <w:style w:type="paragraph" w:customStyle="1" w:styleId="182">
    <w:name w:val="标准文件_示例内容"/>
    <w:basedOn w:val="56"/>
    <w:qFormat/>
    <w:uiPriority w:val="0"/>
    <w:pPr>
      <w:ind w:firstLine="420"/>
    </w:pPr>
    <w:rPr>
      <w:sz w:val="18"/>
    </w:rPr>
  </w:style>
  <w:style w:type="paragraph" w:customStyle="1" w:styleId="183">
    <w:name w:val="标准文件_示例×："/>
    <w:basedOn w:val="1"/>
    <w:next w:val="182"/>
    <w:qFormat/>
    <w:uiPriority w:val="0"/>
    <w:pPr>
      <w:widowControl/>
      <w:numPr>
        <w:ilvl w:val="0"/>
        <w:numId w:val="29"/>
      </w:numPr>
      <w:adjustRightInd/>
      <w:spacing w:line="240" w:lineRule="auto"/>
    </w:pPr>
    <w:rPr>
      <w:rFonts w:ascii="宋体" w:hAnsi="Times New Roman"/>
      <w:kern w:val="0"/>
      <w:sz w:val="18"/>
      <w:szCs w:val="18"/>
    </w:rPr>
  </w:style>
  <w:style w:type="character" w:customStyle="1" w:styleId="184">
    <w:name w:val="标准文件_段 Char"/>
    <w:link w:val="56"/>
    <w:qFormat/>
    <w:uiPriority w:val="0"/>
    <w:rPr>
      <w:rFonts w:ascii="宋体" w:hAnsi="Times New Roman"/>
      <w:sz w:val="21"/>
    </w:rPr>
  </w:style>
  <w:style w:type="paragraph" w:customStyle="1" w:styleId="185">
    <w:name w:val="标准文件_表格续"/>
    <w:basedOn w:val="56"/>
    <w:next w:val="56"/>
    <w:qFormat/>
    <w:uiPriority w:val="0"/>
    <w:pPr>
      <w:jc w:val="center"/>
    </w:pPr>
    <w:rPr>
      <w:rFonts w:ascii="黑体" w:hAnsi="黑体" w:eastAsia="黑体"/>
    </w:rPr>
  </w:style>
  <w:style w:type="character" w:styleId="186">
    <w:name w:val="Placeholder Text"/>
    <w:basedOn w:val="28"/>
    <w:semiHidden/>
    <w:qFormat/>
    <w:uiPriority w:val="99"/>
    <w:rPr>
      <w:color w:val="808080"/>
    </w:rPr>
  </w:style>
  <w:style w:type="paragraph" w:customStyle="1" w:styleId="187">
    <w:name w:val="标准文件_二级项2"/>
    <w:basedOn w:val="56"/>
    <w:qFormat/>
    <w:uiPriority w:val="0"/>
    <w:pPr>
      <w:numPr>
        <w:ilvl w:val="1"/>
        <w:numId w:val="21"/>
      </w:numPr>
      <w:ind w:firstLine="0" w:firstLineChars="0"/>
    </w:pPr>
  </w:style>
  <w:style w:type="paragraph" w:customStyle="1" w:styleId="188">
    <w:name w:val="标准文件_三级项2"/>
    <w:basedOn w:val="56"/>
    <w:qFormat/>
    <w:uiPriority w:val="0"/>
    <w:pPr>
      <w:numPr>
        <w:ilvl w:val="0"/>
        <w:numId w:val="30"/>
      </w:numPr>
      <w:spacing w:line="300" w:lineRule="exact"/>
      <w:ind w:firstLineChars="0"/>
    </w:pPr>
    <w:rPr>
      <w:rFonts w:ascii="Times New Roman"/>
    </w:rPr>
  </w:style>
  <w:style w:type="paragraph" w:customStyle="1" w:styleId="189">
    <w:name w:val="标准文件_一级项2"/>
    <w:basedOn w:val="56"/>
    <w:qFormat/>
    <w:uiPriority w:val="0"/>
    <w:pPr>
      <w:numPr>
        <w:ilvl w:val="0"/>
        <w:numId w:val="31"/>
      </w:numPr>
      <w:spacing w:line="300" w:lineRule="exact"/>
      <w:ind w:firstLineChars="0"/>
    </w:pPr>
    <w:rPr>
      <w:rFonts w:ascii="Times New Roman"/>
    </w:rPr>
  </w:style>
  <w:style w:type="paragraph" w:customStyle="1" w:styleId="190">
    <w:name w:val="标准文件_提示"/>
    <w:basedOn w:val="56"/>
    <w:next w:val="56"/>
    <w:qFormat/>
    <w:uiPriority w:val="0"/>
    <w:pPr>
      <w:ind w:firstLine="420"/>
    </w:pPr>
    <w:rPr>
      <w:rFonts w:ascii="黑体" w:eastAsia="黑体"/>
    </w:rPr>
  </w:style>
  <w:style w:type="character" w:customStyle="1" w:styleId="191">
    <w:name w:val="标准文件_来源"/>
    <w:basedOn w:val="28"/>
    <w:qFormat/>
    <w:uiPriority w:val="1"/>
    <w:rPr>
      <w:rFonts w:eastAsia="宋体"/>
      <w:sz w:val="21"/>
    </w:rPr>
  </w:style>
  <w:style w:type="paragraph" w:customStyle="1" w:styleId="192">
    <w:name w:val="标准文件_图表说明"/>
    <w:qFormat/>
    <w:uiPriority w:val="0"/>
    <w:pPr>
      <w:spacing w:line="276" w:lineRule="auto"/>
      <w:ind w:firstLine="420"/>
    </w:pPr>
    <w:rPr>
      <w:rFonts w:ascii="宋体" w:hAnsi="宋体" w:eastAsia="宋体" w:cs="Times New Roman"/>
      <w:kern w:val="2"/>
      <w:sz w:val="18"/>
      <w:lang w:val="en-US" w:eastAsia="zh-CN" w:bidi="ar-SA"/>
    </w:rPr>
  </w:style>
  <w:style w:type="paragraph" w:customStyle="1" w:styleId="193">
    <w:name w:val="其他发布日期"/>
    <w:basedOn w:val="120"/>
    <w:qFormat/>
    <w:uiPriority w:val="0"/>
    <w:pPr>
      <w:framePr w:w="3997" w:h="471" w:hRule="exact" w:hSpace="0" w:vSpace="181" w:wrap="around" w:vAnchor="page" w:hAnchor="page" w:x="1419" w:y="14097"/>
    </w:pPr>
  </w:style>
  <w:style w:type="paragraph" w:customStyle="1" w:styleId="194">
    <w:name w:val="其他实施日期"/>
    <w:basedOn w:val="154"/>
    <w:qFormat/>
    <w:uiPriority w:val="0"/>
    <w:pPr>
      <w:framePr w:w="3997" w:h="471" w:hRule="exact" w:vSpace="181" w:wrap="around" w:vAnchor="page" w:hAnchor="page" w:x="7089" w:y="14097"/>
    </w:pPr>
  </w:style>
  <w:style w:type="paragraph" w:customStyle="1" w:styleId="195">
    <w:name w:val="标准文件_文件编号"/>
    <w:basedOn w:val="56"/>
    <w:qFormat/>
    <w:uiPriority w:val="0"/>
    <w:pPr>
      <w:framePr w:w="9356" w:h="624" w:hRule="exact" w:hSpace="181" w:vSpace="181" w:wrap="auto" w:vAnchor="page" w:hAnchor="page" w:x="1419" w:y="3284"/>
      <w:wordWrap w:val="0"/>
      <w:spacing w:line="280" w:lineRule="exact"/>
      <w:ind w:firstLine="0" w:firstLineChars="0"/>
      <w:jc w:val="right"/>
    </w:pPr>
    <w:rPr>
      <w:rFonts w:ascii="黑体" w:eastAsia="黑体"/>
      <w:bCs/>
      <w:sz w:val="28"/>
      <w:szCs w:val="28"/>
    </w:rPr>
  </w:style>
  <w:style w:type="paragraph" w:customStyle="1" w:styleId="196">
    <w:name w:val="标准文件_替换文件编号"/>
    <w:basedOn w:val="195"/>
    <w:qFormat/>
    <w:uiPriority w:val="0"/>
    <w:pPr>
      <w:spacing w:before="57"/>
    </w:pPr>
    <w:rPr>
      <w:sz w:val="21"/>
    </w:rPr>
  </w:style>
  <w:style w:type="paragraph" w:customStyle="1" w:styleId="197">
    <w:name w:val="标准文件_文件名称"/>
    <w:basedOn w:val="56"/>
    <w:next w:val="56"/>
    <w:qFormat/>
    <w:uiPriority w:val="0"/>
    <w:pPr>
      <w:framePr w:w="9639" w:h="6976" w:hRule="exact" w:wrap="auto" w:vAnchor="page" w:hAnchor="page" w:y="6408"/>
      <w:autoSpaceDE/>
      <w:autoSpaceDN/>
      <w:spacing w:line="700" w:lineRule="exact"/>
      <w:ind w:firstLine="0" w:firstLineChars="0"/>
      <w:jc w:val="center"/>
    </w:pPr>
    <w:rPr>
      <w:rFonts w:ascii="黑体" w:hAnsi="黑体" w:eastAsia="黑体"/>
      <w:bCs/>
      <w:sz w:val="52"/>
    </w:rPr>
  </w:style>
  <w:style w:type="paragraph" w:customStyle="1" w:styleId="198">
    <w:name w:val="标准文件_附录图标号"/>
    <w:basedOn w:val="56"/>
    <w:next w:val="56"/>
    <w:qFormat/>
    <w:uiPriority w:val="0"/>
    <w:pPr>
      <w:numPr>
        <w:ilvl w:val="0"/>
        <w:numId w:val="6"/>
      </w:numPr>
      <w:spacing w:line="14" w:lineRule="exact"/>
      <w:ind w:firstLine="0" w:firstLineChars="0"/>
      <w:jc w:val="center"/>
    </w:pPr>
    <w:rPr>
      <w:rFonts w:ascii="黑体" w:hAnsi="黑体" w:eastAsia="黑体"/>
      <w:vanish/>
      <w:sz w:val="2"/>
      <w:szCs w:val="21"/>
    </w:rPr>
  </w:style>
  <w:style w:type="paragraph" w:customStyle="1" w:styleId="199">
    <w:name w:val="标准文件_附录表标号"/>
    <w:basedOn w:val="56"/>
    <w:next w:val="56"/>
    <w:qFormat/>
    <w:uiPriority w:val="0"/>
    <w:pPr>
      <w:numPr>
        <w:ilvl w:val="0"/>
        <w:numId w:val="5"/>
      </w:numPr>
      <w:spacing w:line="14" w:lineRule="exact"/>
      <w:ind w:firstLine="0" w:firstLineChars="0"/>
      <w:jc w:val="center"/>
    </w:pPr>
    <w:rPr>
      <w:rFonts w:eastAsia="黑体"/>
      <w:vanish/>
      <w:sz w:val="2"/>
    </w:rPr>
  </w:style>
  <w:style w:type="paragraph" w:customStyle="1" w:styleId="200">
    <w:name w:val="标准文件_引言一级条标题"/>
    <w:basedOn w:val="56"/>
    <w:next w:val="56"/>
    <w:qFormat/>
    <w:uiPriority w:val="0"/>
    <w:pPr>
      <w:numPr>
        <w:ilvl w:val="1"/>
        <w:numId w:val="8"/>
      </w:numPr>
      <w:spacing w:before="50" w:beforeLines="50" w:after="50" w:afterLines="50"/>
      <w:ind w:firstLineChars="0"/>
    </w:pPr>
    <w:rPr>
      <w:rFonts w:ascii="黑体" w:eastAsia="黑体"/>
    </w:rPr>
  </w:style>
  <w:style w:type="paragraph" w:customStyle="1" w:styleId="201">
    <w:name w:val="标准文件_引言二级条标题"/>
    <w:basedOn w:val="56"/>
    <w:next w:val="56"/>
    <w:qFormat/>
    <w:uiPriority w:val="0"/>
    <w:pPr>
      <w:numPr>
        <w:ilvl w:val="2"/>
        <w:numId w:val="8"/>
      </w:numPr>
      <w:spacing w:before="50" w:beforeLines="50" w:after="50" w:afterLines="50"/>
      <w:ind w:firstLineChars="0"/>
    </w:pPr>
    <w:rPr>
      <w:rFonts w:ascii="黑体" w:eastAsia="黑体"/>
    </w:rPr>
  </w:style>
  <w:style w:type="paragraph" w:customStyle="1" w:styleId="202">
    <w:name w:val="标准文件_引言三级条标题"/>
    <w:basedOn w:val="56"/>
    <w:next w:val="56"/>
    <w:qFormat/>
    <w:uiPriority w:val="0"/>
    <w:pPr>
      <w:numPr>
        <w:ilvl w:val="3"/>
        <w:numId w:val="8"/>
      </w:numPr>
      <w:spacing w:before="50" w:beforeLines="50" w:after="50" w:afterLines="50"/>
      <w:ind w:firstLineChars="0"/>
    </w:pPr>
    <w:rPr>
      <w:rFonts w:ascii="黑体" w:eastAsia="黑体"/>
    </w:rPr>
  </w:style>
  <w:style w:type="paragraph" w:customStyle="1" w:styleId="203">
    <w:name w:val="标准文件_引言四级条标题"/>
    <w:basedOn w:val="56"/>
    <w:next w:val="56"/>
    <w:qFormat/>
    <w:uiPriority w:val="0"/>
    <w:pPr>
      <w:numPr>
        <w:ilvl w:val="4"/>
        <w:numId w:val="8"/>
      </w:numPr>
      <w:spacing w:before="50" w:beforeLines="50" w:after="50" w:afterLines="50"/>
      <w:ind w:firstLineChars="0"/>
    </w:pPr>
    <w:rPr>
      <w:rFonts w:ascii="黑体" w:eastAsia="黑体"/>
    </w:rPr>
  </w:style>
  <w:style w:type="paragraph" w:customStyle="1" w:styleId="204">
    <w:name w:val="标准文件_引言五级条标题"/>
    <w:basedOn w:val="56"/>
    <w:next w:val="56"/>
    <w:qFormat/>
    <w:uiPriority w:val="0"/>
    <w:pPr>
      <w:numPr>
        <w:ilvl w:val="5"/>
        <w:numId w:val="8"/>
      </w:numPr>
      <w:spacing w:before="50" w:beforeLines="50" w:after="50" w:afterLines="50"/>
      <w:ind w:firstLineChars="0"/>
    </w:pPr>
    <w:rPr>
      <w:rFonts w:ascii="黑体" w:eastAsia="黑体"/>
    </w:rPr>
  </w:style>
  <w:style w:type="paragraph" w:customStyle="1" w:styleId="205">
    <w:name w:val="标准文件_注后"/>
    <w:basedOn w:val="56"/>
    <w:qFormat/>
    <w:uiPriority w:val="0"/>
    <w:pPr>
      <w:ind w:left="811" w:firstLine="0" w:firstLineChars="0"/>
    </w:pPr>
    <w:rPr>
      <w:sz w:val="18"/>
    </w:rPr>
  </w:style>
  <w:style w:type="paragraph" w:customStyle="1" w:styleId="206">
    <w:name w:val="标准文件_注X后"/>
    <w:basedOn w:val="56"/>
    <w:qFormat/>
    <w:uiPriority w:val="0"/>
    <w:pPr>
      <w:ind w:left="811" w:firstLine="0" w:firstLineChars="0"/>
    </w:pPr>
    <w:rPr>
      <w:sz w:val="18"/>
    </w:rPr>
  </w:style>
  <w:style w:type="paragraph" w:customStyle="1" w:styleId="207">
    <w:name w:val="标准文件_示例后"/>
    <w:basedOn w:val="56"/>
    <w:qFormat/>
    <w:uiPriority w:val="0"/>
    <w:pPr>
      <w:ind w:left="964" w:firstLine="0" w:firstLineChars="0"/>
    </w:pPr>
    <w:rPr>
      <w:sz w:val="18"/>
    </w:rPr>
  </w:style>
  <w:style w:type="paragraph" w:customStyle="1" w:styleId="208">
    <w:name w:val="标准文件_示例X后"/>
    <w:basedOn w:val="56"/>
    <w:link w:val="209"/>
    <w:qFormat/>
    <w:uiPriority w:val="0"/>
    <w:pPr>
      <w:ind w:left="1049" w:firstLine="0" w:firstLineChars="0"/>
    </w:pPr>
    <w:rPr>
      <w:sz w:val="18"/>
    </w:rPr>
  </w:style>
  <w:style w:type="character" w:customStyle="1" w:styleId="209">
    <w:name w:val="标准文件_示例X后 字符"/>
    <w:basedOn w:val="184"/>
    <w:link w:val="208"/>
    <w:qFormat/>
    <w:uiPriority w:val="0"/>
    <w:rPr>
      <w:rFonts w:ascii="宋体" w:hAnsi="Times New Roman"/>
      <w:sz w:val="18"/>
    </w:rPr>
  </w:style>
  <w:style w:type="paragraph" w:customStyle="1" w:styleId="210">
    <w:name w:val="标准文件_索引项"/>
    <w:basedOn w:val="56"/>
    <w:next w:val="56"/>
    <w:qFormat/>
    <w:uiPriority w:val="0"/>
    <w:pPr>
      <w:tabs>
        <w:tab w:val="right" w:leader="dot" w:pos="9356"/>
      </w:tabs>
      <w:ind w:left="210" w:hanging="210" w:firstLineChars="0"/>
      <w:jc w:val="left"/>
    </w:pPr>
  </w:style>
  <w:style w:type="paragraph" w:customStyle="1" w:styleId="211">
    <w:name w:val="标准文件_附录一级无标题"/>
    <w:basedOn w:val="78"/>
    <w:qFormat/>
    <w:uiPriority w:val="0"/>
    <w:pPr>
      <w:spacing w:before="0" w:beforeLines="0" w:after="0" w:afterLines="0" w:line="276" w:lineRule="auto"/>
      <w:outlineLvl w:val="9"/>
    </w:pPr>
    <w:rPr>
      <w:rFonts w:ascii="宋体" w:eastAsia="宋体"/>
    </w:rPr>
  </w:style>
  <w:style w:type="paragraph" w:customStyle="1" w:styleId="212">
    <w:name w:val="标准文件_附录二级无标题"/>
    <w:basedOn w:val="79"/>
    <w:qFormat/>
    <w:uiPriority w:val="0"/>
    <w:pPr>
      <w:spacing w:before="0" w:beforeLines="0" w:after="0" w:afterLines="0" w:line="276" w:lineRule="auto"/>
      <w:outlineLvl w:val="9"/>
    </w:pPr>
    <w:rPr>
      <w:rFonts w:ascii="宋体" w:eastAsia="宋体"/>
    </w:rPr>
  </w:style>
  <w:style w:type="paragraph" w:customStyle="1" w:styleId="213">
    <w:name w:val="标准文件_附录三级无标题"/>
    <w:basedOn w:val="81"/>
    <w:qFormat/>
    <w:uiPriority w:val="0"/>
    <w:pPr>
      <w:spacing w:before="0" w:beforeLines="0" w:after="0" w:afterLines="0" w:line="276" w:lineRule="auto"/>
      <w:outlineLvl w:val="9"/>
    </w:pPr>
    <w:rPr>
      <w:rFonts w:ascii="宋体" w:eastAsia="宋体"/>
    </w:rPr>
  </w:style>
  <w:style w:type="paragraph" w:customStyle="1" w:styleId="214">
    <w:name w:val="标准文件_附录四级无标题"/>
    <w:basedOn w:val="82"/>
    <w:qFormat/>
    <w:uiPriority w:val="0"/>
    <w:pPr>
      <w:spacing w:before="0" w:beforeLines="0" w:after="0" w:afterLines="0" w:line="276" w:lineRule="auto"/>
      <w:outlineLvl w:val="9"/>
    </w:pPr>
    <w:rPr>
      <w:rFonts w:ascii="宋体" w:eastAsia="宋体"/>
    </w:rPr>
  </w:style>
  <w:style w:type="paragraph" w:customStyle="1" w:styleId="215">
    <w:name w:val="标准文件_附录五级无标题"/>
    <w:basedOn w:val="84"/>
    <w:qFormat/>
    <w:uiPriority w:val="0"/>
    <w:pPr>
      <w:spacing w:before="0" w:beforeLines="0" w:after="0" w:afterLines="0" w:line="276" w:lineRule="auto"/>
      <w:outlineLvl w:val="9"/>
    </w:pPr>
    <w:rPr>
      <w:rFonts w:ascii="宋体" w:eastAsia="宋体"/>
    </w:rPr>
  </w:style>
  <w:style w:type="paragraph" w:customStyle="1" w:styleId="216">
    <w:name w:val="标准文件_引言一级无标题"/>
    <w:basedOn w:val="200"/>
    <w:next w:val="56"/>
    <w:qFormat/>
    <w:uiPriority w:val="0"/>
    <w:pPr>
      <w:spacing w:before="0" w:beforeLines="0" w:after="0" w:afterLines="0" w:line="276" w:lineRule="auto"/>
    </w:pPr>
    <w:rPr>
      <w:rFonts w:ascii="宋体" w:eastAsia="宋体"/>
    </w:rPr>
  </w:style>
  <w:style w:type="paragraph" w:customStyle="1" w:styleId="217">
    <w:name w:val="标准文件_引言二级无标题"/>
    <w:basedOn w:val="201"/>
    <w:next w:val="56"/>
    <w:qFormat/>
    <w:uiPriority w:val="0"/>
    <w:pPr>
      <w:spacing w:before="0" w:beforeLines="0" w:after="0" w:afterLines="0" w:line="276" w:lineRule="auto"/>
    </w:pPr>
    <w:rPr>
      <w:rFonts w:ascii="宋体" w:eastAsia="宋体"/>
    </w:rPr>
  </w:style>
  <w:style w:type="paragraph" w:customStyle="1" w:styleId="218">
    <w:name w:val="标准文件_引言三级无标题"/>
    <w:basedOn w:val="202"/>
    <w:qFormat/>
    <w:uiPriority w:val="0"/>
    <w:pPr>
      <w:spacing w:before="0" w:beforeLines="0" w:after="0" w:afterLines="0" w:line="276" w:lineRule="auto"/>
    </w:pPr>
    <w:rPr>
      <w:rFonts w:ascii="宋体" w:eastAsia="宋体"/>
    </w:rPr>
  </w:style>
  <w:style w:type="paragraph" w:customStyle="1" w:styleId="219">
    <w:name w:val="标准文件_引言四级无标题"/>
    <w:basedOn w:val="203"/>
    <w:next w:val="56"/>
    <w:qFormat/>
    <w:uiPriority w:val="0"/>
    <w:pPr>
      <w:spacing w:before="0" w:beforeLines="0" w:after="0" w:afterLines="0" w:line="276" w:lineRule="auto"/>
    </w:pPr>
    <w:rPr>
      <w:rFonts w:ascii="宋体" w:eastAsia="宋体"/>
    </w:rPr>
  </w:style>
  <w:style w:type="paragraph" w:customStyle="1" w:styleId="220">
    <w:name w:val="标准文件_引言五级无标题"/>
    <w:basedOn w:val="204"/>
    <w:next w:val="56"/>
    <w:qFormat/>
    <w:uiPriority w:val="0"/>
    <w:pPr>
      <w:spacing w:before="0" w:beforeLines="0" w:after="0" w:afterLines="0" w:line="276" w:lineRule="auto"/>
    </w:pPr>
    <w:rPr>
      <w:rFonts w:ascii="宋体" w:eastAsia="宋体"/>
    </w:rPr>
  </w:style>
  <w:style w:type="paragraph" w:customStyle="1" w:styleId="221">
    <w:name w:val="标准文件_索引标题"/>
    <w:basedOn w:val="63"/>
    <w:next w:val="56"/>
    <w:qFormat/>
    <w:uiPriority w:val="0"/>
    <w:rPr>
      <w:rFonts w:hAnsi="黑体"/>
    </w:rPr>
  </w:style>
  <w:style w:type="paragraph" w:customStyle="1" w:styleId="222">
    <w:name w:val="标准文件_脚注内容"/>
    <w:basedOn w:val="56"/>
    <w:qFormat/>
    <w:uiPriority w:val="0"/>
    <w:pPr>
      <w:ind w:left="400" w:leftChars="200" w:hanging="200" w:hangingChars="200"/>
    </w:pPr>
    <w:rPr>
      <w:sz w:val="15"/>
    </w:rPr>
  </w:style>
  <w:style w:type="paragraph" w:customStyle="1" w:styleId="223">
    <w:name w:val="标准文件_术语条一"/>
    <w:basedOn w:val="162"/>
    <w:next w:val="56"/>
    <w:qFormat/>
    <w:uiPriority w:val="0"/>
  </w:style>
  <w:style w:type="paragraph" w:customStyle="1" w:styleId="224">
    <w:name w:val="标准文件_术语条二"/>
    <w:basedOn w:val="165"/>
    <w:next w:val="56"/>
    <w:qFormat/>
    <w:uiPriority w:val="0"/>
  </w:style>
  <w:style w:type="paragraph" w:customStyle="1" w:styleId="225">
    <w:name w:val="标准文件_术语条三"/>
    <w:basedOn w:val="164"/>
    <w:next w:val="56"/>
    <w:qFormat/>
    <w:uiPriority w:val="0"/>
  </w:style>
  <w:style w:type="paragraph" w:customStyle="1" w:styleId="226">
    <w:name w:val="标准文件_术语条四"/>
    <w:basedOn w:val="167"/>
    <w:next w:val="56"/>
    <w:qFormat/>
    <w:uiPriority w:val="0"/>
  </w:style>
  <w:style w:type="paragraph" w:customStyle="1" w:styleId="227">
    <w:name w:val="标准文件_术语条五"/>
    <w:basedOn w:val="163"/>
    <w:next w:val="56"/>
    <w:qFormat/>
    <w:uiPriority w:val="0"/>
  </w:style>
  <w:style w:type="paragraph" w:customStyle="1" w:styleId="228">
    <w:name w:val="Default"/>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character" w:customStyle="1" w:styleId="229">
    <w:name w:val="发布"/>
    <w:basedOn w:val="28"/>
    <w:qFormat/>
    <w:uiPriority w:val="0"/>
    <w:rPr>
      <w:rFonts w:ascii="黑体" w:eastAsia="黑体"/>
      <w:spacing w:val="85"/>
      <w:w w:val="100"/>
      <w:position w:val="3"/>
      <w:sz w:val="28"/>
      <w:szCs w:val="28"/>
    </w:rPr>
  </w:style>
</w:styles>
</file>

<file path=word/_rels/document.xml.rels><?xml version="1.0" encoding="UTF-8" standalone="yes"?>
<Relationships xmlns="http://schemas.openxmlformats.org/package/2006/relationships"><Relationship Id="rId9" Type="http://schemas.openxmlformats.org/officeDocument/2006/relationships/header" Target="head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2" Type="http://schemas.openxmlformats.org/officeDocument/2006/relationships/glossaryDocument" Target="glossary/document.xml"/><Relationship Id="rId31" Type="http://schemas.openxmlformats.org/officeDocument/2006/relationships/fontTable" Target="fontTable.xml"/><Relationship Id="rId30" Type="http://schemas.openxmlformats.org/officeDocument/2006/relationships/customXml" Target="../customXml/item2.xml"/><Relationship Id="rId3" Type="http://schemas.openxmlformats.org/officeDocument/2006/relationships/footnotes" Target="footnotes.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jpeg"/><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tiff"/><Relationship Id="rId12" Type="http://schemas.openxmlformats.org/officeDocument/2006/relationships/theme" Target="theme/theme1.xml"/><Relationship Id="rId11" Type="http://schemas.openxmlformats.org/officeDocument/2006/relationships/footer" Target="footer3.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320;&#26041;&#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5554ABC9D6514497875594CB2B2119C3"/>
        <w:style w:val=""/>
        <w:category>
          <w:name w:val="常规"/>
          <w:gallery w:val="placeholder"/>
        </w:category>
        <w:types>
          <w:type w:val="bbPlcHdr"/>
        </w:types>
        <w:behaviors>
          <w:behavior w:val="content"/>
        </w:behaviors>
        <w:description w:val=""/>
        <w:guid w:val="{C5CC5C1A-D5F8-4697-A125-D12A1DE16DB5}"/>
      </w:docPartPr>
      <w:docPartBody>
        <w:p w14:paraId="502358ED">
          <w:pPr>
            <w:pStyle w:val="5"/>
          </w:pPr>
          <w:r>
            <w:rPr>
              <w:rStyle w:val="4"/>
              <w:rFonts w:hint="eastAsia"/>
            </w:rPr>
            <w:t>单击或点击此处输入文字。</w:t>
          </w:r>
        </w:p>
      </w:docPartBody>
    </w:docPart>
    <w:docPart>
      <w:docPartPr>
        <w:name w:val="807942547EDF48DBA4B194E1ED0D173F"/>
        <w:style w:val=""/>
        <w:category>
          <w:name w:val="常规"/>
          <w:gallery w:val="placeholder"/>
        </w:category>
        <w:types>
          <w:type w:val="bbPlcHdr"/>
        </w:types>
        <w:behaviors>
          <w:behavior w:val="content"/>
        </w:behaviors>
        <w:description w:val=""/>
        <w:guid w:val="{0E35EAC0-3ADF-4980-9C2E-EBF25172FAB8}"/>
      </w:docPartPr>
      <w:docPartBody>
        <w:p w14:paraId="33FE8A61">
          <w:pPr>
            <w:pStyle w:val="6"/>
          </w:pPr>
          <w:r>
            <w:rPr>
              <w:rStyle w:val="4"/>
              <w:rFonts w:hint="eastAsia"/>
            </w:rPr>
            <w:t>选择一项。</w:t>
          </w:r>
        </w:p>
      </w:docPartBody>
    </w:docPart>
    <w:docPart>
      <w:docPartPr>
        <w:name w:val="A433521205084680A3F9926E235DF59C"/>
        <w:style w:val=""/>
        <w:category>
          <w:name w:val="常规"/>
          <w:gallery w:val="placeholder"/>
        </w:category>
        <w:types>
          <w:type w:val="bbPlcHdr"/>
        </w:types>
        <w:behaviors>
          <w:behavior w:val="content"/>
        </w:behaviors>
        <w:description w:val=""/>
        <w:guid w:val="{DB18EC20-7516-4557-8FF7-44118D6BEC0E}"/>
      </w:docPartPr>
      <w:docPartBody>
        <w:p w14:paraId="5853B902">
          <w:pPr>
            <w:pStyle w:val="7"/>
          </w:pPr>
          <w:r>
            <w:rPr>
              <w:rStyle w:val="4"/>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bordersDoNotSurroundHeader w:val="1"/>
  <w:bordersDoNotSurroundFooter w:val="1"/>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1852"/>
    <w:rsid w:val="00693135"/>
    <w:rsid w:val="00747E59"/>
    <w:rsid w:val="007F06BC"/>
    <w:rsid w:val="00A31852"/>
    <w:rsid w:val="00BF6A18"/>
    <w:rsid w:val="00C51250"/>
    <w:rsid w:val="00CE0308"/>
    <w:rsid w:val="00E816B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qFormat="1" w:uiPriority="99" w:name="Normal Table"/>
    <w:lsdException w:qFormat="1" w:unhideWhenUsed="0" w:uiPriority="99" w:name="Placeholder Text"/>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2">
    <w:name w:val="Default Paragraph Font"/>
    <w:semiHidden/>
    <w:unhideWhenUsed/>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character" w:styleId="4">
    <w:name w:val="Placeholder Text"/>
    <w:basedOn w:val="2"/>
    <w:autoRedefine/>
    <w:semiHidden/>
    <w:qFormat/>
    <w:uiPriority w:val="99"/>
    <w:rPr>
      <w:color w:val="808080"/>
    </w:rPr>
  </w:style>
  <w:style w:type="paragraph" w:customStyle="1" w:styleId="5">
    <w:name w:val="5554ABC9D6514497875594CB2B2119C3"/>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6">
    <w:name w:val="807942547EDF48DBA4B194E1ED0D173F"/>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customStyle="1" w:styleId="7">
    <w:name w:val="A433521205084680A3F9926E235DF59C"/>
    <w:qFormat/>
    <w:uiPriority w:val="0"/>
    <w:pPr>
      <w:widowControl w:val="0"/>
      <w:jc w:val="both"/>
    </w:pPr>
    <w:rPr>
      <w:rFonts w:asciiTheme="minorHAnsi" w:hAnsiTheme="minorHAnsi" w:eastAsiaTheme="minorEastAsia" w:cstheme="minorBidi"/>
      <w:kern w:val="2"/>
      <w:sz w:val="21"/>
      <w:szCs w:val="22"/>
      <w:lang w:val="en-US" w:eastAsia="zh-CN" w:bidi="ar-SA"/>
    </w:rPr>
  </w:style>
</w:style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044D0F0-4599-4636-87FB-7A8E61F9FFDF}">
  <ds:schemaRefs/>
</ds:datastoreItem>
</file>

<file path=docProps/app.xml><?xml version="1.0" encoding="utf-8"?>
<Properties xmlns="http://schemas.openxmlformats.org/officeDocument/2006/extended-properties" xmlns:vt="http://schemas.openxmlformats.org/officeDocument/2006/docPropsVTypes">
  <Template>地方标准</Template>
  <Company>PCMI</Company>
  <Pages>18</Pages>
  <Words>10475</Words>
  <Characters>12799</Characters>
  <Lines>108</Lines>
  <Paragraphs>30</Paragraphs>
  <TotalTime>0</TotalTime>
  <ScaleCrop>false</ScaleCrop>
  <LinksUpToDate>false</LinksUpToDate>
  <CharactersWithSpaces>13178</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2024-04-03T05:48:00Z</dcterms:created>
  <dc:creator>gyb1</dc:creator>
  <dc:description>&lt;config cover="true" show_menu="true" version="1.0.0" doctype="SDKXY"&gt;_x000d_
&lt;/config&gt;</dc:description>
  <cp:lastModifiedBy>金海林</cp:lastModifiedBy>
  <cp:lastPrinted>2020-08-30T10:00:00Z</cp:lastPrinted>
  <dcterms:modified xsi:type="dcterms:W3CDTF">2025-08-29T02:53:36Z</dcterms:modified>
  <dc:title>地方标准</dc:title>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地方标准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2052-12.1.0.22529</vt:lpwstr>
  </property>
  <property fmtid="{D5CDD505-2E9C-101B-9397-08002B2CF9AE}" pid="15" name="ICV">
    <vt:lpwstr>7945D249A3E5440792358B35EC7A7041_12</vt:lpwstr>
  </property>
  <property fmtid="{D5CDD505-2E9C-101B-9397-08002B2CF9AE}" pid="16" name="KSOTemplateDocerSaveRecord">
    <vt:lpwstr>eyJoZGlkIjoiNWFlYjc1YTA5ZWE1MDNjZWYyZjgzNTNiYzkyNmJiMmIiLCJ1c2VySWQiOiI0NDYyODA2MzIifQ==</vt:lpwstr>
  </property>
</Properties>
</file>